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48"/>
        <w:gridCol w:w="567"/>
        <w:gridCol w:w="4247"/>
      </w:tblGrid>
      <w:tr w:rsidR="00015791" w:rsidTr="00015791">
        <w:tc>
          <w:tcPr>
            <w:tcW w:w="4248" w:type="dxa"/>
            <w:hideMark/>
          </w:tcPr>
          <w:p w:rsidR="00015791" w:rsidRDefault="00015791">
            <w:pPr>
              <w:spacing w:after="0"/>
              <w:rPr>
                <w:rFonts w:ascii="Century Gothic" w:hAnsi="Century Gothic" w:cs="Arial"/>
                <w:szCs w:val="20"/>
              </w:rPr>
            </w:pPr>
            <w:r>
              <w:rPr>
                <w:rFonts w:ascii="Century Gothic" w:hAnsi="Century Gothic" w:cs="Arial"/>
                <w:szCs w:val="20"/>
              </w:rPr>
              <w:t>TRANSATEL</w:t>
            </w:r>
          </w:p>
          <w:p w:rsidR="00015791" w:rsidRDefault="00015791">
            <w:pPr>
              <w:spacing w:after="0"/>
              <w:rPr>
                <w:rFonts w:ascii="Century Gothic" w:hAnsi="Century Gothic" w:cs="Arial"/>
                <w:szCs w:val="20"/>
              </w:rPr>
            </w:pPr>
            <w:r>
              <w:rPr>
                <w:rFonts w:ascii="Century Gothic" w:hAnsi="Century Gothic" w:cs="Arial"/>
                <w:szCs w:val="20"/>
              </w:rPr>
              <w:t>49-51 Quai de Dion Bouton</w:t>
            </w:r>
          </w:p>
          <w:p w:rsidR="00015791" w:rsidRDefault="00015791">
            <w:pPr>
              <w:spacing w:after="0"/>
              <w:rPr>
                <w:rFonts w:ascii="Century Gothic" w:hAnsi="Century Gothic" w:cs="Arial"/>
                <w:szCs w:val="20"/>
              </w:rPr>
            </w:pPr>
            <w:r>
              <w:rPr>
                <w:rFonts w:ascii="Century Gothic" w:hAnsi="Century Gothic" w:cs="Arial"/>
                <w:szCs w:val="20"/>
              </w:rPr>
              <w:t>92800 Puteaux - FRANCE</w:t>
            </w:r>
          </w:p>
          <w:p w:rsidR="00015791" w:rsidRDefault="00015791">
            <w:pPr>
              <w:spacing w:after="0"/>
              <w:rPr>
                <w:rFonts w:ascii="Century Gothic" w:hAnsi="Century Gothic" w:cs="Arial"/>
                <w:szCs w:val="20"/>
              </w:rPr>
            </w:pPr>
            <w:r>
              <w:rPr>
                <w:rFonts w:ascii="Century Gothic" w:hAnsi="Century Gothic" w:cs="Arial"/>
                <w:szCs w:val="20"/>
              </w:rPr>
              <w:t>Tél : +33 (0)1 74 95 74 00</w:t>
            </w:r>
          </w:p>
          <w:p w:rsidR="00015791" w:rsidRDefault="00015791">
            <w:pPr>
              <w:spacing w:after="0"/>
              <w:rPr>
                <w:rFonts w:ascii="Century Gothic" w:hAnsi="Century Gothic" w:cs="Arial"/>
                <w:szCs w:val="20"/>
              </w:rPr>
            </w:pPr>
            <w:r>
              <w:rPr>
                <w:rFonts w:ascii="Century Gothic" w:hAnsi="Century Gothic" w:cs="Arial"/>
                <w:szCs w:val="20"/>
              </w:rPr>
              <w:t>Fax : +33 (0)1 70 75 24 80</w:t>
            </w:r>
          </w:p>
        </w:tc>
        <w:tc>
          <w:tcPr>
            <w:tcW w:w="567" w:type="dxa"/>
          </w:tcPr>
          <w:p w:rsidR="00015791" w:rsidRDefault="00015791">
            <w:pPr>
              <w:spacing w:before="240" w:after="0"/>
              <w:rPr>
                <w:rFonts w:cs="Arial"/>
                <w:b/>
                <w:szCs w:val="20"/>
              </w:rPr>
            </w:pPr>
          </w:p>
        </w:tc>
        <w:tc>
          <w:tcPr>
            <w:tcW w:w="4247" w:type="dxa"/>
          </w:tcPr>
          <w:p w:rsidR="00015791" w:rsidRDefault="00015791">
            <w:pPr>
              <w:spacing w:after="0"/>
              <w:rPr>
                <w:rFonts w:cs="Arial"/>
                <w:b/>
                <w:szCs w:val="20"/>
              </w:rPr>
            </w:pPr>
            <w:r>
              <w:rPr>
                <w:rFonts w:cs="Arial"/>
                <w:b/>
                <w:szCs w:val="20"/>
              </w:rPr>
              <w:t>ARCEP</w:t>
            </w:r>
          </w:p>
          <w:p w:rsidR="00015791" w:rsidRDefault="00015791">
            <w:pPr>
              <w:spacing w:after="0"/>
              <w:rPr>
                <w:rFonts w:cs="Arial"/>
                <w:b/>
                <w:szCs w:val="20"/>
              </w:rPr>
            </w:pPr>
            <w:r>
              <w:rPr>
                <w:rFonts w:cs="Arial"/>
                <w:b/>
                <w:szCs w:val="20"/>
              </w:rPr>
              <w:t xml:space="preserve">M. Benoit </w:t>
            </w:r>
            <w:proofErr w:type="spellStart"/>
            <w:r>
              <w:rPr>
                <w:rFonts w:cs="Arial"/>
                <w:b/>
                <w:szCs w:val="20"/>
              </w:rPr>
              <w:t>Loutrel</w:t>
            </w:r>
            <w:proofErr w:type="spellEnd"/>
            <w:r>
              <w:rPr>
                <w:rFonts w:cs="Arial"/>
                <w:b/>
                <w:szCs w:val="20"/>
              </w:rPr>
              <w:t>, Directeur Général</w:t>
            </w:r>
          </w:p>
          <w:p w:rsidR="00015791" w:rsidRDefault="00015791">
            <w:pPr>
              <w:spacing w:after="0"/>
              <w:rPr>
                <w:rFonts w:cs="Arial"/>
                <w:szCs w:val="20"/>
              </w:rPr>
            </w:pPr>
            <w:r>
              <w:rPr>
                <w:rFonts w:cs="Arial"/>
                <w:szCs w:val="20"/>
              </w:rPr>
              <w:t xml:space="preserve">7, square Max </w:t>
            </w:r>
            <w:proofErr w:type="spellStart"/>
            <w:r>
              <w:rPr>
                <w:rFonts w:cs="Arial"/>
                <w:szCs w:val="20"/>
              </w:rPr>
              <w:t>Hymans</w:t>
            </w:r>
            <w:proofErr w:type="spellEnd"/>
          </w:p>
          <w:p w:rsidR="00015791" w:rsidRDefault="00015791">
            <w:pPr>
              <w:spacing w:after="0"/>
              <w:rPr>
                <w:rFonts w:cs="Arial"/>
                <w:szCs w:val="20"/>
              </w:rPr>
            </w:pPr>
            <w:r>
              <w:rPr>
                <w:rFonts w:cs="Arial"/>
                <w:szCs w:val="20"/>
              </w:rPr>
              <w:t>75730 Paris Cedex 15</w:t>
            </w:r>
          </w:p>
          <w:p w:rsidR="00015791" w:rsidRDefault="00015791">
            <w:pPr>
              <w:rPr>
                <w:rFonts w:cs="Arial"/>
                <w:szCs w:val="20"/>
              </w:rPr>
            </w:pPr>
          </w:p>
        </w:tc>
      </w:tr>
      <w:tr w:rsidR="00015791" w:rsidTr="00015791">
        <w:tc>
          <w:tcPr>
            <w:tcW w:w="4248" w:type="dxa"/>
          </w:tcPr>
          <w:p w:rsidR="00015791" w:rsidRDefault="00015791">
            <w:pPr>
              <w:rPr>
                <w:rFonts w:ascii="Century Gothic" w:hAnsi="Century Gothic" w:cs="Arial"/>
                <w:szCs w:val="20"/>
              </w:rPr>
            </w:pPr>
          </w:p>
        </w:tc>
        <w:tc>
          <w:tcPr>
            <w:tcW w:w="4814" w:type="dxa"/>
            <w:gridSpan w:val="2"/>
          </w:tcPr>
          <w:p w:rsidR="00015791" w:rsidRDefault="00015791">
            <w:pPr>
              <w:spacing w:before="240"/>
              <w:rPr>
                <w:rFonts w:cs="Arial"/>
                <w:szCs w:val="20"/>
              </w:rPr>
            </w:pPr>
          </w:p>
        </w:tc>
      </w:tr>
      <w:tr w:rsidR="00015791" w:rsidTr="00015791">
        <w:tc>
          <w:tcPr>
            <w:tcW w:w="4248" w:type="dxa"/>
          </w:tcPr>
          <w:p w:rsidR="00015791" w:rsidRDefault="00015791">
            <w:pPr>
              <w:rPr>
                <w:rFonts w:cs="Arial"/>
                <w:szCs w:val="20"/>
              </w:rPr>
            </w:pPr>
          </w:p>
        </w:tc>
        <w:tc>
          <w:tcPr>
            <w:tcW w:w="4814" w:type="dxa"/>
            <w:gridSpan w:val="2"/>
            <w:hideMark/>
          </w:tcPr>
          <w:p w:rsidR="00015791" w:rsidRDefault="00015791">
            <w:pPr>
              <w:spacing w:before="240"/>
              <w:rPr>
                <w:rFonts w:cs="Arial"/>
                <w:szCs w:val="20"/>
              </w:rPr>
            </w:pPr>
            <w:r>
              <w:rPr>
                <w:rFonts w:cs="Arial"/>
                <w:szCs w:val="20"/>
              </w:rPr>
              <w:t>Date : 16 septembre 2016</w:t>
            </w:r>
          </w:p>
        </w:tc>
      </w:tr>
    </w:tbl>
    <w:p w:rsidR="00015791" w:rsidRDefault="00015791" w:rsidP="00015791">
      <w:pPr>
        <w:spacing w:before="240"/>
        <w:rPr>
          <w:rFonts w:cs="Arial"/>
          <w:szCs w:val="20"/>
        </w:rPr>
      </w:pPr>
      <w:r>
        <w:rPr>
          <w:rFonts w:cs="Arial"/>
          <w:szCs w:val="20"/>
        </w:rPr>
        <w:t xml:space="preserve">Objet : Réponse de </w:t>
      </w:r>
      <w:proofErr w:type="spellStart"/>
      <w:r>
        <w:rPr>
          <w:rFonts w:cs="Arial"/>
          <w:szCs w:val="20"/>
        </w:rPr>
        <w:t>Transatel</w:t>
      </w:r>
      <w:proofErr w:type="spellEnd"/>
      <w:r>
        <w:rPr>
          <w:rFonts w:cs="Arial"/>
          <w:szCs w:val="20"/>
        </w:rPr>
        <w:t xml:space="preserve"> à la consultation publique « Document n°2 du livre blanc sur l’internet des objets </w:t>
      </w:r>
    </w:p>
    <w:p w:rsidR="00015791" w:rsidRDefault="00015791" w:rsidP="00015791">
      <w:pPr>
        <w:spacing w:before="240"/>
        <w:rPr>
          <w:rFonts w:cs="Arial"/>
          <w:szCs w:val="20"/>
        </w:rPr>
      </w:pPr>
    </w:p>
    <w:p w:rsidR="00015791" w:rsidRDefault="00015791" w:rsidP="00015791">
      <w:pPr>
        <w:spacing w:before="240"/>
        <w:rPr>
          <w:rFonts w:cs="Arial"/>
          <w:szCs w:val="20"/>
        </w:rPr>
      </w:pPr>
      <w:r>
        <w:rPr>
          <w:rFonts w:cs="Arial"/>
          <w:szCs w:val="20"/>
        </w:rPr>
        <w:t xml:space="preserve">Monsieur le Directeur Général, </w:t>
      </w:r>
    </w:p>
    <w:p w:rsidR="00015791" w:rsidRDefault="00015791" w:rsidP="00015791">
      <w:pPr>
        <w:spacing w:before="240"/>
        <w:rPr>
          <w:rFonts w:cs="Arial"/>
          <w:szCs w:val="20"/>
        </w:rPr>
      </w:pPr>
      <w:r>
        <w:rPr>
          <w:rFonts w:cs="Arial"/>
          <w:szCs w:val="20"/>
        </w:rPr>
        <w:t xml:space="preserve">Nous vous remercions pour l’ouverture de cette consultation publique, et vous prions de trouver ci-après les réponses de </w:t>
      </w:r>
      <w:proofErr w:type="spellStart"/>
      <w:r>
        <w:rPr>
          <w:rFonts w:cs="Arial"/>
          <w:szCs w:val="20"/>
        </w:rPr>
        <w:t>Transatel</w:t>
      </w:r>
      <w:proofErr w:type="spellEnd"/>
      <w:r>
        <w:rPr>
          <w:rFonts w:cs="Arial"/>
          <w:szCs w:val="20"/>
        </w:rPr>
        <w:t xml:space="preserve"> compte tenu du fort développement de nos activités dans l’</w:t>
      </w:r>
      <w:proofErr w:type="spellStart"/>
      <w:r>
        <w:rPr>
          <w:rFonts w:cs="Arial"/>
          <w:szCs w:val="20"/>
        </w:rPr>
        <w:t>IoT</w:t>
      </w:r>
      <w:proofErr w:type="spellEnd"/>
      <w:r>
        <w:rPr>
          <w:rFonts w:cs="Arial"/>
          <w:szCs w:val="20"/>
        </w:rPr>
        <w:t>.</w:t>
      </w:r>
    </w:p>
    <w:p w:rsidR="00015791" w:rsidRDefault="00015791" w:rsidP="00015791">
      <w:pPr>
        <w:spacing w:before="240"/>
        <w:rPr>
          <w:rFonts w:cs="Arial"/>
          <w:szCs w:val="20"/>
        </w:rPr>
      </w:pPr>
      <w:r>
        <w:rPr>
          <w:rFonts w:cs="Arial"/>
          <w:szCs w:val="20"/>
        </w:rPr>
        <w:t xml:space="preserve">Comme vous le savez, </w:t>
      </w:r>
      <w:proofErr w:type="spellStart"/>
      <w:r>
        <w:rPr>
          <w:rFonts w:cs="Arial"/>
          <w:szCs w:val="20"/>
        </w:rPr>
        <w:t>Transatel</w:t>
      </w:r>
      <w:proofErr w:type="spellEnd"/>
      <w:r>
        <w:rPr>
          <w:rFonts w:cs="Arial"/>
          <w:szCs w:val="20"/>
        </w:rPr>
        <w:t xml:space="preserve"> lance une solution de connectivité mobile embarquée pour le marché de l’internet des objets, en commençant par adresser les PC portables et les tablettes, puis les automobiles, à l’aide d’un code de réseau mobile international attribué par l’UIT (901-37). </w:t>
      </w:r>
    </w:p>
    <w:p w:rsidR="00015791" w:rsidRDefault="00015791" w:rsidP="00015791">
      <w:pPr>
        <w:spacing w:before="240"/>
        <w:rPr>
          <w:rFonts w:cs="Arial"/>
          <w:szCs w:val="20"/>
        </w:rPr>
      </w:pPr>
      <w:r>
        <w:rPr>
          <w:rFonts w:cs="Arial"/>
          <w:szCs w:val="20"/>
        </w:rPr>
        <w:t xml:space="preserve">Les mesures identifiées dans cette consultation par l’Autorité sont très pertinentes, et certaines méritent d’ailleurs d’être approfondies pour faciliter le déploiement de l’internet des objets, en particulier dans les secteurs adressés par </w:t>
      </w:r>
      <w:proofErr w:type="spellStart"/>
      <w:r>
        <w:rPr>
          <w:rFonts w:cs="Arial"/>
          <w:szCs w:val="20"/>
        </w:rPr>
        <w:t>Transatel</w:t>
      </w:r>
      <w:proofErr w:type="spellEnd"/>
      <w:r>
        <w:rPr>
          <w:rFonts w:cs="Arial"/>
          <w:szCs w:val="20"/>
        </w:rPr>
        <w:t xml:space="preserve">. </w:t>
      </w:r>
    </w:p>
    <w:p w:rsidR="00015791" w:rsidRDefault="00015791" w:rsidP="00015791">
      <w:pPr>
        <w:spacing w:before="240"/>
        <w:rPr>
          <w:rFonts w:cs="Arial"/>
          <w:szCs w:val="20"/>
        </w:rPr>
      </w:pPr>
      <w:r>
        <w:rPr>
          <w:rFonts w:cs="Arial"/>
          <w:szCs w:val="20"/>
        </w:rPr>
        <w:t>Vous trouverez donc ci-après nos réponses dans une version confidentielle, et une version publiable dans laquelle les passages couverts par le secret des affaires ont été remplacés par « … ».</w:t>
      </w:r>
    </w:p>
    <w:p w:rsidR="00015791" w:rsidRDefault="00015791" w:rsidP="00015791">
      <w:pPr>
        <w:spacing w:before="240"/>
        <w:rPr>
          <w:rFonts w:cs="Arial"/>
          <w:szCs w:val="20"/>
        </w:rPr>
      </w:pPr>
      <w:r>
        <w:rPr>
          <w:rFonts w:cs="Arial"/>
          <w:szCs w:val="20"/>
        </w:rPr>
        <w:t xml:space="preserve">Les équipes de </w:t>
      </w:r>
      <w:proofErr w:type="spellStart"/>
      <w:r>
        <w:rPr>
          <w:rFonts w:cs="Arial"/>
          <w:szCs w:val="20"/>
        </w:rPr>
        <w:t>Transatel</w:t>
      </w:r>
      <w:proofErr w:type="spellEnd"/>
      <w:r>
        <w:rPr>
          <w:rFonts w:cs="Arial"/>
          <w:szCs w:val="20"/>
        </w:rPr>
        <w:t xml:space="preserve"> restent à la disposition de celles de l’Autorité pour préciser nos éléments de réponse.</w:t>
      </w:r>
    </w:p>
    <w:p w:rsidR="00015791" w:rsidRDefault="00015791" w:rsidP="00015791">
      <w:pPr>
        <w:spacing w:before="240"/>
        <w:rPr>
          <w:rFonts w:cs="Arial"/>
          <w:szCs w:val="20"/>
        </w:rPr>
      </w:pPr>
      <w:r>
        <w:rPr>
          <w:rFonts w:cs="Arial"/>
          <w:szCs w:val="20"/>
        </w:rPr>
        <w:t xml:space="preserve">Je vous prie d’agréer, Monsieur le Directeur Général, mes sincères salutations. </w:t>
      </w:r>
    </w:p>
    <w:p w:rsidR="00015791" w:rsidRDefault="00015791" w:rsidP="00015791">
      <w:pPr>
        <w:rPr>
          <w:rFonts w:cs="Arial"/>
          <w:szCs w:val="20"/>
        </w:rPr>
      </w:pPr>
    </w:p>
    <w:p w:rsidR="00015791" w:rsidRDefault="00015791" w:rsidP="00015791">
      <w:pPr>
        <w:rPr>
          <w:rFonts w:cs="Arial"/>
          <w:szCs w:val="20"/>
        </w:rPr>
      </w:pPr>
    </w:p>
    <w:p w:rsidR="00015791" w:rsidRDefault="00015791" w:rsidP="00015791">
      <w:pPr>
        <w:rPr>
          <w:rFonts w:cs="Arial"/>
          <w:szCs w:val="20"/>
        </w:rPr>
      </w:pPr>
    </w:p>
    <w:p w:rsidR="00015791" w:rsidRDefault="00015791" w:rsidP="00015791">
      <w:pPr>
        <w:rPr>
          <w:rFonts w:cs="Arial"/>
          <w:b/>
          <w:szCs w:val="20"/>
        </w:rPr>
      </w:pPr>
      <w:r>
        <w:rPr>
          <w:rFonts w:cs="Arial"/>
          <w:b/>
          <w:szCs w:val="20"/>
        </w:rPr>
        <w:t xml:space="preserve">Jacques </w:t>
      </w:r>
      <w:proofErr w:type="spellStart"/>
      <w:r>
        <w:rPr>
          <w:rFonts w:cs="Arial"/>
          <w:b/>
          <w:szCs w:val="20"/>
        </w:rPr>
        <w:t>Bonifay</w:t>
      </w:r>
      <w:proofErr w:type="spellEnd"/>
      <w:r>
        <w:rPr>
          <w:rFonts w:cs="Arial"/>
          <w:b/>
          <w:szCs w:val="20"/>
        </w:rPr>
        <w:t>, Président du Directoire</w:t>
      </w:r>
    </w:p>
    <w:p w:rsidR="00015791" w:rsidRDefault="00015791" w:rsidP="00015791">
      <w:pPr>
        <w:pBdr>
          <w:top w:val="single" w:sz="4" w:space="1" w:color="auto"/>
          <w:left w:val="single" w:sz="4" w:space="4" w:color="auto"/>
          <w:bottom w:val="single" w:sz="4" w:space="1" w:color="auto"/>
          <w:right w:val="single" w:sz="4" w:space="4" w:color="auto"/>
        </w:pBdr>
        <w:jc w:val="center"/>
        <w:rPr>
          <w:rFonts w:cs="Arial"/>
          <w:szCs w:val="20"/>
        </w:rPr>
      </w:pPr>
    </w:p>
    <w:p w:rsidR="00015791" w:rsidRDefault="00015791" w:rsidP="00015791">
      <w:pPr>
        <w:pBdr>
          <w:top w:val="single" w:sz="4" w:space="1" w:color="auto"/>
          <w:left w:val="single" w:sz="4" w:space="4" w:color="auto"/>
          <w:bottom w:val="single" w:sz="4" w:space="1" w:color="auto"/>
          <w:right w:val="single" w:sz="4" w:space="4" w:color="auto"/>
        </w:pBdr>
        <w:jc w:val="center"/>
        <w:rPr>
          <w:rFonts w:cs="Arial"/>
          <w:szCs w:val="20"/>
        </w:rPr>
      </w:pPr>
    </w:p>
    <w:p w:rsidR="00015791" w:rsidRDefault="00015791" w:rsidP="00015791">
      <w:pPr>
        <w:pBdr>
          <w:top w:val="single" w:sz="4" w:space="1" w:color="auto"/>
          <w:left w:val="single" w:sz="4" w:space="4" w:color="auto"/>
          <w:bottom w:val="single" w:sz="4" w:space="1" w:color="auto"/>
          <w:right w:val="single" w:sz="4" w:space="4" w:color="auto"/>
        </w:pBdr>
        <w:rPr>
          <w:rFonts w:cs="Arial"/>
          <w:szCs w:val="20"/>
        </w:rPr>
      </w:pPr>
    </w:p>
    <w:p w:rsidR="00015791" w:rsidRDefault="00015791">
      <w:pPr>
        <w:spacing w:after="200" w:line="276" w:lineRule="auto"/>
        <w:jc w:val="left"/>
        <w:rPr>
          <w:rFonts w:cs="Arial"/>
          <w:szCs w:val="20"/>
        </w:rPr>
      </w:pPr>
      <w:r>
        <w:rPr>
          <w:rFonts w:cs="Arial"/>
          <w:szCs w:val="20"/>
        </w:rPr>
        <w:br w:type="page"/>
      </w:r>
    </w:p>
    <w:p w:rsidR="00015791" w:rsidRDefault="00015791" w:rsidP="00015791">
      <w:pPr>
        <w:pBdr>
          <w:top w:val="single" w:sz="4" w:space="1" w:color="auto"/>
          <w:left w:val="single" w:sz="4" w:space="4" w:color="auto"/>
          <w:bottom w:val="single" w:sz="4" w:space="1" w:color="auto"/>
          <w:right w:val="single" w:sz="4" w:space="4" w:color="auto"/>
        </w:pBdr>
        <w:jc w:val="center"/>
        <w:rPr>
          <w:rFonts w:cs="Arial"/>
          <w:szCs w:val="20"/>
        </w:rPr>
      </w:pPr>
      <w:bookmarkStart w:id="0" w:name="_GoBack"/>
      <w:bookmarkEnd w:id="0"/>
    </w:p>
    <w:p w:rsidR="00015791" w:rsidRDefault="00015791" w:rsidP="00015791">
      <w:pPr>
        <w:pBdr>
          <w:top w:val="single" w:sz="4" w:space="1" w:color="auto"/>
          <w:left w:val="single" w:sz="4" w:space="4" w:color="auto"/>
          <w:bottom w:val="single" w:sz="4" w:space="1" w:color="auto"/>
          <w:right w:val="single" w:sz="4" w:space="4" w:color="auto"/>
        </w:pBdr>
        <w:jc w:val="center"/>
        <w:rPr>
          <w:rFonts w:cs="Arial"/>
          <w:szCs w:val="20"/>
        </w:rPr>
      </w:pPr>
      <w:r>
        <w:rPr>
          <w:rFonts w:cs="Arial"/>
          <w:szCs w:val="20"/>
        </w:rPr>
        <w:t>V</w:t>
      </w:r>
      <w:r>
        <w:rPr>
          <w:rFonts w:cs="Arial"/>
          <w:szCs w:val="20"/>
        </w:rPr>
        <w:t xml:space="preserve">ersion publiable – Réponses </w:t>
      </w:r>
      <w:proofErr w:type="spellStart"/>
      <w:r>
        <w:rPr>
          <w:rFonts w:cs="Arial"/>
          <w:szCs w:val="20"/>
        </w:rPr>
        <w:t>Transatel</w:t>
      </w:r>
      <w:proofErr w:type="spellEnd"/>
    </w:p>
    <w:p w:rsidR="00015791" w:rsidRDefault="00015791" w:rsidP="00015791">
      <w:pPr>
        <w:rPr>
          <w:rFonts w:cs="Arial"/>
          <w:szCs w:val="20"/>
        </w:rPr>
      </w:pPr>
    </w:p>
    <w:p w:rsidR="00015791" w:rsidRDefault="00015791" w:rsidP="00015791">
      <w:pPr>
        <w:rPr>
          <w:rFonts w:cs="Arial"/>
          <w:b/>
          <w:szCs w:val="20"/>
        </w:rPr>
      </w:pPr>
      <w:r>
        <w:rPr>
          <w:rFonts w:cs="Arial"/>
          <w:b/>
          <w:szCs w:val="20"/>
        </w:rPr>
        <w:t>Question n° 1 : Pensez-vous que la mise en place d’un cadre expérimental relatif à des services de communications électroniques soit de nature à favoriser l’innovation ? Avez-vous des propositions sur la manière de la mettre en œuvre, en particulier en matière d’internet des objets ?</w:t>
      </w:r>
    </w:p>
    <w:p w:rsidR="00015791" w:rsidRDefault="00015791" w:rsidP="00015791">
      <w:pPr>
        <w:rPr>
          <w:rFonts w:cs="Arial"/>
          <w:szCs w:val="20"/>
        </w:rPr>
      </w:pPr>
    </w:p>
    <w:p w:rsidR="00015791" w:rsidRDefault="00015791" w:rsidP="00015791">
      <w:pPr>
        <w:rPr>
          <w:rFonts w:cs="Arial"/>
          <w:szCs w:val="20"/>
        </w:rPr>
      </w:pPr>
      <w:proofErr w:type="spellStart"/>
      <w:r>
        <w:rPr>
          <w:rFonts w:cs="Arial"/>
          <w:szCs w:val="20"/>
        </w:rPr>
        <w:t>Transatel</w:t>
      </w:r>
      <w:proofErr w:type="spellEnd"/>
      <w:r>
        <w:rPr>
          <w:rFonts w:cs="Arial"/>
          <w:szCs w:val="20"/>
        </w:rPr>
        <w:t xml:space="preserve"> pense en effet que cette démarche faciliterait la capacité d’innovation des acteurs de l’internet des objets. </w:t>
      </w:r>
    </w:p>
    <w:p w:rsidR="00015791" w:rsidRDefault="00015791" w:rsidP="00015791">
      <w:pPr>
        <w:rPr>
          <w:rFonts w:cs="Arial"/>
          <w:szCs w:val="20"/>
        </w:rPr>
      </w:pPr>
      <w:r>
        <w:rPr>
          <w:rFonts w:cs="Arial"/>
          <w:szCs w:val="20"/>
        </w:rPr>
        <w:t xml:space="preserve">Par exemple, lorsque </w:t>
      </w:r>
      <w:proofErr w:type="spellStart"/>
      <w:r>
        <w:rPr>
          <w:rFonts w:cs="Arial"/>
          <w:szCs w:val="20"/>
        </w:rPr>
        <w:t>Transatel</w:t>
      </w:r>
      <w:proofErr w:type="spellEnd"/>
      <w:r>
        <w:rPr>
          <w:rFonts w:cs="Arial"/>
          <w:szCs w:val="20"/>
        </w:rPr>
        <w:t xml:space="preserve"> a lancé ses expérimentations autour de son code 901-37, il a bénéficié de l’appui de certains opérateurs de réseaux mobiles européens. Sans cet appui spontané de ces opérateurs, </w:t>
      </w:r>
      <w:proofErr w:type="spellStart"/>
      <w:r>
        <w:rPr>
          <w:rFonts w:cs="Arial"/>
          <w:szCs w:val="20"/>
        </w:rPr>
        <w:t>Transatel</w:t>
      </w:r>
      <w:proofErr w:type="spellEnd"/>
      <w:r>
        <w:rPr>
          <w:rFonts w:cs="Arial"/>
          <w:szCs w:val="20"/>
        </w:rPr>
        <w:t xml:space="preserve"> n’aurait pas pu poursuivre ses développements dans l’</w:t>
      </w:r>
      <w:proofErr w:type="spellStart"/>
      <w:r>
        <w:rPr>
          <w:rFonts w:cs="Arial"/>
          <w:szCs w:val="20"/>
        </w:rPr>
        <w:t>IoT</w:t>
      </w:r>
      <w:proofErr w:type="spellEnd"/>
      <w:r>
        <w:rPr>
          <w:rFonts w:cs="Arial"/>
          <w:szCs w:val="20"/>
        </w:rPr>
        <w:t>. Il est donc important a posteriori qu’une démarche expérimentale soit garantie pour les acteurs de l’</w:t>
      </w:r>
      <w:proofErr w:type="spellStart"/>
      <w:r>
        <w:rPr>
          <w:rFonts w:cs="Arial"/>
          <w:szCs w:val="20"/>
        </w:rPr>
        <w:t>IoT</w:t>
      </w:r>
      <w:proofErr w:type="spellEnd"/>
      <w:r>
        <w:rPr>
          <w:rFonts w:cs="Arial"/>
          <w:szCs w:val="20"/>
        </w:rPr>
        <w:t xml:space="preserve">, permettant de concevoir de nouvelles offres modernes et compétitives. </w:t>
      </w:r>
    </w:p>
    <w:p w:rsidR="00015791" w:rsidRDefault="00015791" w:rsidP="00015791">
      <w:pPr>
        <w:rPr>
          <w:rFonts w:cs="Arial"/>
          <w:szCs w:val="20"/>
        </w:rPr>
      </w:pPr>
      <w:r>
        <w:rPr>
          <w:rFonts w:cs="Arial"/>
          <w:szCs w:val="20"/>
        </w:rPr>
        <w:t xml:space="preserve">Par exemple, aujourd’hui, les conditions dans lesquelles les opérateurs mobiles sont autorisés à réaliser du </w:t>
      </w:r>
      <w:proofErr w:type="spellStart"/>
      <w:r>
        <w:rPr>
          <w:rFonts w:cs="Arial"/>
          <w:szCs w:val="20"/>
        </w:rPr>
        <w:t>roaming</w:t>
      </w:r>
      <w:proofErr w:type="spellEnd"/>
      <w:r>
        <w:rPr>
          <w:rFonts w:cs="Arial"/>
          <w:szCs w:val="20"/>
        </w:rPr>
        <w:t xml:space="preserve"> national dynamique sont très limitées et freinent probablement l’émergence de nouvelles offres dans différents domaines, comme celui de la sécurité. </w:t>
      </w:r>
      <w:proofErr w:type="spellStart"/>
      <w:r>
        <w:rPr>
          <w:rFonts w:cs="Arial"/>
          <w:szCs w:val="20"/>
        </w:rPr>
        <w:t>Transatel</w:t>
      </w:r>
      <w:proofErr w:type="spellEnd"/>
      <w:r>
        <w:rPr>
          <w:rFonts w:cs="Arial"/>
          <w:szCs w:val="20"/>
        </w:rPr>
        <w:t xml:space="preserve"> pense par exemple qu’un cadre expérimental serait utile pour cette problématique, afin de valider les différentes hypothèses de développement, et déterminer entre les acteurs les conditions de lancement et d’opération de ces offres.</w:t>
      </w:r>
    </w:p>
    <w:p w:rsidR="00015791" w:rsidRDefault="00015791" w:rsidP="00015791">
      <w:pPr>
        <w:rPr>
          <w:rFonts w:cs="Arial"/>
          <w:szCs w:val="20"/>
        </w:rPr>
      </w:pPr>
    </w:p>
    <w:p w:rsidR="00015791" w:rsidRDefault="00015791" w:rsidP="00015791">
      <w:pPr>
        <w:rPr>
          <w:rFonts w:cs="Arial"/>
          <w:b/>
          <w:szCs w:val="20"/>
        </w:rPr>
      </w:pPr>
      <w:r>
        <w:rPr>
          <w:rFonts w:cs="Arial"/>
          <w:b/>
          <w:szCs w:val="20"/>
        </w:rPr>
        <w:t xml:space="preserve">Question n° 2 : Considérez-vous que l’Arcep devrait avoir une implication plus importante dans les instances de normalisation internationale ? De quelle manière ? </w:t>
      </w:r>
    </w:p>
    <w:p w:rsidR="00015791" w:rsidRDefault="00015791" w:rsidP="00015791">
      <w:pPr>
        <w:rPr>
          <w:rFonts w:cs="Arial"/>
          <w:szCs w:val="20"/>
        </w:rPr>
      </w:pPr>
    </w:p>
    <w:p w:rsidR="00015791" w:rsidRDefault="00015791" w:rsidP="00015791">
      <w:pPr>
        <w:rPr>
          <w:rFonts w:cs="Arial"/>
          <w:szCs w:val="20"/>
        </w:rPr>
      </w:pPr>
      <w:proofErr w:type="spellStart"/>
      <w:r>
        <w:rPr>
          <w:rFonts w:cs="Arial"/>
          <w:szCs w:val="20"/>
        </w:rPr>
        <w:t>Transatel</w:t>
      </w:r>
      <w:proofErr w:type="spellEnd"/>
      <w:r>
        <w:rPr>
          <w:rFonts w:cs="Arial"/>
          <w:szCs w:val="20"/>
        </w:rPr>
        <w:t xml:space="preserve"> souhaite que l’ARCEP s’implique davantage car des options importantes sont prises au sein des instances de normalisation internationales. Il est donc utile qu’une autorité comme l’ARCEP, qui est proche du terrain, suive les travaux de ces instances, de manière à garantir un accès équitable de tous les acteurs aux nouvelles normes ainsi définis. </w:t>
      </w:r>
    </w:p>
    <w:p w:rsidR="00015791" w:rsidRDefault="00015791" w:rsidP="00015791">
      <w:pPr>
        <w:rPr>
          <w:rFonts w:cs="Arial"/>
          <w:szCs w:val="20"/>
        </w:rPr>
      </w:pPr>
      <w:r>
        <w:rPr>
          <w:rFonts w:cs="Arial"/>
          <w:szCs w:val="20"/>
        </w:rPr>
        <w:t>Il faut également noter que certaines pratiques « normatives » sont déterminées par le secteur économique lui-même, en particulier la GSMA dans le domaine de la téléphonie mobile. Les autorités publiques en tant que garante du cadre juridique doivent davantage coopérer avec les associations professionnelles lorsqu’elles définissent certaines règles, de manière là aussi à garantir un accès équitable à l’ensemble des acteurs de l’</w:t>
      </w:r>
      <w:proofErr w:type="spellStart"/>
      <w:r>
        <w:rPr>
          <w:rFonts w:cs="Arial"/>
          <w:szCs w:val="20"/>
        </w:rPr>
        <w:t>IoT</w:t>
      </w:r>
      <w:proofErr w:type="spellEnd"/>
      <w:r>
        <w:rPr>
          <w:rFonts w:cs="Arial"/>
          <w:szCs w:val="20"/>
        </w:rPr>
        <w:t>.</w:t>
      </w:r>
    </w:p>
    <w:p w:rsidR="00015791" w:rsidRDefault="00015791" w:rsidP="00015791">
      <w:pPr>
        <w:rPr>
          <w:rFonts w:cs="Arial"/>
          <w:szCs w:val="20"/>
        </w:rPr>
      </w:pPr>
      <w:r>
        <w:rPr>
          <w:rFonts w:cs="Arial"/>
          <w:szCs w:val="20"/>
        </w:rPr>
        <w:t>Aujourd’hui, les principales évolutions à venir se situent autour de changements technologiques comme le passage à la voix sur LTE (</w:t>
      </w:r>
      <w:proofErr w:type="spellStart"/>
      <w:r>
        <w:rPr>
          <w:rFonts w:cs="Arial"/>
          <w:szCs w:val="20"/>
        </w:rPr>
        <w:t>VoLTE</w:t>
      </w:r>
      <w:proofErr w:type="spellEnd"/>
      <w:r>
        <w:rPr>
          <w:rFonts w:cs="Arial"/>
          <w:szCs w:val="20"/>
        </w:rPr>
        <w:t>), le LPWA (</w:t>
      </w:r>
      <w:proofErr w:type="spellStart"/>
      <w:r>
        <w:rPr>
          <w:rFonts w:cs="Arial"/>
          <w:szCs w:val="20"/>
        </w:rPr>
        <w:t>Low</w:t>
      </w:r>
      <w:proofErr w:type="spellEnd"/>
      <w:r>
        <w:rPr>
          <w:rFonts w:cs="Arial"/>
          <w:szCs w:val="20"/>
        </w:rPr>
        <w:t xml:space="preserve"> Power Wide Area), la 5G et l’</w:t>
      </w:r>
      <w:proofErr w:type="spellStart"/>
      <w:r>
        <w:rPr>
          <w:rFonts w:cs="Arial"/>
          <w:szCs w:val="20"/>
        </w:rPr>
        <w:t>eSIM</w:t>
      </w:r>
      <w:proofErr w:type="spellEnd"/>
      <w:r>
        <w:rPr>
          <w:rFonts w:cs="Arial"/>
          <w:szCs w:val="20"/>
        </w:rPr>
        <w:t xml:space="preserve">. </w:t>
      </w:r>
    </w:p>
    <w:p w:rsidR="00015791" w:rsidRDefault="00015791" w:rsidP="00015791">
      <w:pPr>
        <w:rPr>
          <w:rFonts w:cs="Arial"/>
          <w:szCs w:val="20"/>
        </w:rPr>
      </w:pPr>
      <w:r>
        <w:rPr>
          <w:rFonts w:cs="Arial"/>
          <w:szCs w:val="20"/>
        </w:rPr>
        <w:t>Ces changements ne doivent pas représenter pour certains des barrières technologiques infranchissables et ils doivent pouvoir être déployés par l’ensemble des acteurs de l’</w:t>
      </w:r>
      <w:proofErr w:type="spellStart"/>
      <w:r>
        <w:rPr>
          <w:rFonts w:cs="Arial"/>
          <w:szCs w:val="20"/>
        </w:rPr>
        <w:t>IoT</w:t>
      </w:r>
      <w:proofErr w:type="spellEnd"/>
      <w:r>
        <w:rPr>
          <w:rFonts w:cs="Arial"/>
          <w:szCs w:val="20"/>
        </w:rPr>
        <w:t xml:space="preserve"> non seulement dès leur mise sur le marché, mais également en amont au cours des phases d’expérimentation. </w:t>
      </w:r>
    </w:p>
    <w:p w:rsidR="00015791" w:rsidRDefault="00015791" w:rsidP="00015791">
      <w:pPr>
        <w:rPr>
          <w:rFonts w:cs="Arial"/>
          <w:szCs w:val="20"/>
        </w:rPr>
      </w:pPr>
      <w:r>
        <w:rPr>
          <w:rFonts w:cs="Arial"/>
          <w:szCs w:val="20"/>
        </w:rPr>
        <w:t xml:space="preserve">Par exemple, les acteurs Full MVNO doivent pouvoir expérimenter la </w:t>
      </w:r>
      <w:proofErr w:type="spellStart"/>
      <w:r>
        <w:rPr>
          <w:rFonts w:cs="Arial"/>
          <w:szCs w:val="20"/>
        </w:rPr>
        <w:t>VoLTE</w:t>
      </w:r>
      <w:proofErr w:type="spellEnd"/>
      <w:r>
        <w:rPr>
          <w:rFonts w:cs="Arial"/>
          <w:szCs w:val="20"/>
        </w:rPr>
        <w:t xml:space="preserve"> et le </w:t>
      </w:r>
      <w:proofErr w:type="spellStart"/>
      <w:r>
        <w:rPr>
          <w:rFonts w:cs="Arial"/>
          <w:szCs w:val="20"/>
        </w:rPr>
        <w:t>Low</w:t>
      </w:r>
      <w:proofErr w:type="spellEnd"/>
      <w:r>
        <w:rPr>
          <w:rFonts w:cs="Arial"/>
          <w:szCs w:val="20"/>
        </w:rPr>
        <w:t xml:space="preserve"> Power Wide Area, dès que les solutions technologiques existent sur les réseaux des MNO à titre expérimental, de manière à pouvoir lancer eux-mêmes des solutions commerciales au même moment que les opérateurs de réseaux. </w:t>
      </w:r>
    </w:p>
    <w:p w:rsidR="00015791" w:rsidRDefault="00015791" w:rsidP="00015791">
      <w:pPr>
        <w:rPr>
          <w:rFonts w:cs="Arial"/>
          <w:szCs w:val="20"/>
        </w:rPr>
      </w:pPr>
      <w:proofErr w:type="spellStart"/>
      <w:r>
        <w:rPr>
          <w:rFonts w:cs="Arial"/>
          <w:szCs w:val="20"/>
        </w:rPr>
        <w:t>Transatel</w:t>
      </w:r>
      <w:proofErr w:type="spellEnd"/>
      <w:r>
        <w:rPr>
          <w:rFonts w:cs="Arial"/>
          <w:szCs w:val="20"/>
        </w:rPr>
        <w:t xml:space="preserve"> souligne en effet l’importance pour un Full MVNO de pouvoir accéder en même temps que les opérateurs de réseaux aux nouvelles technologies, car cela lui permet de déployer de nouveaux services (ainsi se différencier) et de gagner plusieurs années en termes d’innovation. </w:t>
      </w:r>
    </w:p>
    <w:p w:rsidR="00015791" w:rsidRDefault="00015791" w:rsidP="00015791">
      <w:pPr>
        <w:rPr>
          <w:rFonts w:cs="Arial"/>
          <w:szCs w:val="20"/>
        </w:rPr>
      </w:pPr>
    </w:p>
    <w:p w:rsidR="00015791" w:rsidRDefault="00015791" w:rsidP="00015791">
      <w:pPr>
        <w:rPr>
          <w:rFonts w:cs="Arial"/>
          <w:b/>
          <w:szCs w:val="20"/>
        </w:rPr>
      </w:pPr>
      <w:r>
        <w:rPr>
          <w:rFonts w:cs="Arial"/>
          <w:b/>
          <w:szCs w:val="20"/>
        </w:rPr>
        <w:t>Question n° 3 : Sous quelles conditions la réutilisation ou le partage d’infrastructures, passives ou actives permet-elle, selon vous, de favoriser le déploiement de réseaux adaptés aux besoins de l’internet des objets ?</w:t>
      </w:r>
    </w:p>
    <w:p w:rsidR="00015791" w:rsidRDefault="00015791" w:rsidP="00015791">
      <w:pPr>
        <w:rPr>
          <w:rFonts w:cs="Arial"/>
          <w:szCs w:val="20"/>
        </w:rPr>
      </w:pPr>
    </w:p>
    <w:p w:rsidR="00015791" w:rsidRDefault="00015791" w:rsidP="00015791">
      <w:pPr>
        <w:rPr>
          <w:rFonts w:cs="Arial"/>
          <w:szCs w:val="20"/>
        </w:rPr>
      </w:pPr>
      <w:r>
        <w:rPr>
          <w:rFonts w:cs="Arial"/>
          <w:szCs w:val="20"/>
        </w:rPr>
        <w:t xml:space="preserve">Les caractéristiques de l’internet des objets (objets qui communiquent parfois peu, et qui doivent avoir une très longue autonomie) nécessitent certains ajustements sur les réseaux mobiles. </w:t>
      </w:r>
      <w:proofErr w:type="spellStart"/>
      <w:r>
        <w:rPr>
          <w:rFonts w:cs="Arial"/>
          <w:szCs w:val="20"/>
        </w:rPr>
        <w:t>Transatel</w:t>
      </w:r>
      <w:proofErr w:type="spellEnd"/>
      <w:r>
        <w:rPr>
          <w:rFonts w:cs="Arial"/>
          <w:szCs w:val="20"/>
        </w:rPr>
        <w:t xml:space="preserve"> fait notamment référence au LPWA (</w:t>
      </w:r>
      <w:proofErr w:type="spellStart"/>
      <w:r>
        <w:rPr>
          <w:rFonts w:cs="Arial"/>
          <w:szCs w:val="20"/>
        </w:rPr>
        <w:t>Low</w:t>
      </w:r>
      <w:proofErr w:type="spellEnd"/>
      <w:r>
        <w:rPr>
          <w:rFonts w:cs="Arial"/>
          <w:szCs w:val="20"/>
        </w:rPr>
        <w:t xml:space="preserve"> Power Wide Area, </w:t>
      </w:r>
      <w:hyperlink r:id="rId7" w:history="1">
        <w:r>
          <w:rPr>
            <w:rStyle w:val="Lienhypertexte"/>
            <w:rFonts w:cs="Arial"/>
            <w:szCs w:val="20"/>
          </w:rPr>
          <w:t>http://www.gsma.com/connectedliving/mobile-iot-initiative/</w:t>
        </w:r>
      </w:hyperlink>
      <w:r>
        <w:rPr>
          <w:rFonts w:cs="Arial"/>
          <w:szCs w:val="20"/>
        </w:rPr>
        <w:t>). Cette technologie est potentiellement une alternative ou un complément des solutions qui sont en cours de déploiement sur le même sujet : SIGFOX et LORA. Les solutions ainsi déployées appellent la plus grande vigilance des autorités pour permettre à l’ensemble des acteurs de l’</w:t>
      </w:r>
      <w:proofErr w:type="spellStart"/>
      <w:r>
        <w:rPr>
          <w:rFonts w:cs="Arial"/>
          <w:szCs w:val="20"/>
        </w:rPr>
        <w:t>IoT</w:t>
      </w:r>
      <w:proofErr w:type="spellEnd"/>
      <w:r>
        <w:rPr>
          <w:rFonts w:cs="Arial"/>
          <w:szCs w:val="20"/>
        </w:rPr>
        <w:t xml:space="preserve"> (les Full MVNO et d’autres) d’y participer dès les phases d’expérimentation, et dès leur mise sur le marché. </w:t>
      </w:r>
    </w:p>
    <w:p w:rsidR="00015791" w:rsidRDefault="00015791" w:rsidP="00015791">
      <w:pPr>
        <w:rPr>
          <w:rFonts w:cs="Arial"/>
          <w:szCs w:val="20"/>
        </w:rPr>
      </w:pPr>
    </w:p>
    <w:p w:rsidR="00015791" w:rsidRDefault="00015791" w:rsidP="00015791">
      <w:pPr>
        <w:rPr>
          <w:rFonts w:cs="Arial"/>
          <w:b/>
          <w:szCs w:val="20"/>
        </w:rPr>
      </w:pPr>
      <w:r>
        <w:rPr>
          <w:rFonts w:cs="Arial"/>
          <w:b/>
          <w:szCs w:val="20"/>
        </w:rPr>
        <w:t>Question n° 4 : Avez-vous d’autres observations au regard des orientations énoncées ci-dessus ?</w:t>
      </w:r>
    </w:p>
    <w:p w:rsidR="00015791" w:rsidRDefault="00015791" w:rsidP="00015791">
      <w:pPr>
        <w:rPr>
          <w:rFonts w:cs="Arial"/>
          <w:szCs w:val="20"/>
        </w:rPr>
      </w:pPr>
    </w:p>
    <w:p w:rsidR="00015791" w:rsidRDefault="00015791" w:rsidP="00015791">
      <w:pPr>
        <w:rPr>
          <w:rFonts w:cs="Arial"/>
          <w:szCs w:val="20"/>
        </w:rPr>
      </w:pPr>
      <w:r>
        <w:rPr>
          <w:rFonts w:cs="Arial"/>
          <w:szCs w:val="20"/>
        </w:rPr>
        <w:t>(…)</w:t>
      </w:r>
    </w:p>
    <w:p w:rsidR="00015791" w:rsidRDefault="00015791" w:rsidP="00015791">
      <w:pPr>
        <w:rPr>
          <w:rFonts w:cs="Arial"/>
          <w:szCs w:val="20"/>
        </w:rPr>
      </w:pPr>
    </w:p>
    <w:p w:rsidR="00015791" w:rsidRDefault="00015791" w:rsidP="00015791">
      <w:pPr>
        <w:rPr>
          <w:rFonts w:cs="Arial"/>
          <w:szCs w:val="20"/>
        </w:rPr>
      </w:pPr>
      <w:r>
        <w:rPr>
          <w:rFonts w:cs="Arial"/>
          <w:szCs w:val="20"/>
          <w:u w:val="single"/>
        </w:rPr>
        <w:t xml:space="preserve">Sur le permanent </w:t>
      </w:r>
      <w:proofErr w:type="spellStart"/>
      <w:r>
        <w:rPr>
          <w:rFonts w:cs="Arial"/>
          <w:szCs w:val="20"/>
          <w:u w:val="single"/>
        </w:rPr>
        <w:t>roaming</w:t>
      </w:r>
      <w:proofErr w:type="spellEnd"/>
      <w:r>
        <w:rPr>
          <w:rFonts w:cs="Arial"/>
          <w:szCs w:val="20"/>
        </w:rPr>
        <w:t> :</w:t>
      </w:r>
    </w:p>
    <w:p w:rsidR="00015791" w:rsidRDefault="00015791" w:rsidP="00015791">
      <w:pPr>
        <w:rPr>
          <w:rFonts w:cs="Arial"/>
          <w:szCs w:val="20"/>
        </w:rPr>
      </w:pPr>
      <w:r>
        <w:rPr>
          <w:rFonts w:cs="Arial"/>
          <w:szCs w:val="20"/>
        </w:rPr>
        <w:t xml:space="preserve">Par ailleurs, en ce qui concerne le permanent </w:t>
      </w:r>
      <w:proofErr w:type="spellStart"/>
      <w:r>
        <w:rPr>
          <w:rFonts w:cs="Arial"/>
          <w:szCs w:val="20"/>
        </w:rPr>
        <w:t>roaming</w:t>
      </w:r>
      <w:proofErr w:type="spellEnd"/>
      <w:r>
        <w:rPr>
          <w:rFonts w:cs="Arial"/>
          <w:szCs w:val="20"/>
        </w:rPr>
        <w:t xml:space="preserve">, le règlement (UE) 2015/2120 (modifiant le règlement (UE) n° 531/2012) prévoit dans son article 7, 2., que : « L’offre de référence [pour l’accès de gros aux services d’itinérance] (…) peut comprendre </w:t>
      </w:r>
      <w:r>
        <w:rPr>
          <w:rFonts w:cs="Arial"/>
          <w:b/>
          <w:szCs w:val="20"/>
          <w:u w:val="single"/>
        </w:rPr>
        <w:t>des conditions destinées à empêcher l’itinérance permanente</w:t>
      </w:r>
      <w:r>
        <w:rPr>
          <w:rFonts w:cs="Arial"/>
          <w:szCs w:val="20"/>
        </w:rPr>
        <w:t xml:space="preserve"> ou l’utilisation anormale ou abusive de l’accès de gros aux services d’itinérance </w:t>
      </w:r>
      <w:r>
        <w:rPr>
          <w:rFonts w:cs="Arial"/>
          <w:b/>
          <w:szCs w:val="20"/>
          <w:u w:val="single"/>
        </w:rPr>
        <w:t>à des fins autres que la fourniture de services d’itinérance réglementés</w:t>
      </w:r>
      <w:r>
        <w:rPr>
          <w:rFonts w:cs="Arial"/>
          <w:szCs w:val="20"/>
        </w:rPr>
        <w:t xml:space="preserve"> aux clients du fournisseurs de services d’itinérance lorsque ces derniers se déplacent périodiquement dans l’Union. (…) ».</w:t>
      </w:r>
    </w:p>
    <w:p w:rsidR="00015791" w:rsidRDefault="00015791" w:rsidP="00015791">
      <w:pPr>
        <w:rPr>
          <w:rFonts w:cs="Arial"/>
          <w:szCs w:val="20"/>
        </w:rPr>
      </w:pPr>
      <w:proofErr w:type="spellStart"/>
      <w:r>
        <w:rPr>
          <w:rFonts w:cs="Arial"/>
          <w:szCs w:val="20"/>
        </w:rPr>
        <w:t>Transatel</w:t>
      </w:r>
      <w:proofErr w:type="spellEnd"/>
      <w:r>
        <w:rPr>
          <w:rFonts w:cs="Arial"/>
          <w:szCs w:val="20"/>
        </w:rPr>
        <w:t xml:space="preserve"> souhaite donc que l’ARCEP, et plus largement les autorités européennes, portent une attention particulière à l’interprétation qui pourrait être faite de cette disposition dans le domaine de l’</w:t>
      </w:r>
      <w:proofErr w:type="spellStart"/>
      <w:r>
        <w:rPr>
          <w:rFonts w:cs="Arial"/>
          <w:szCs w:val="20"/>
        </w:rPr>
        <w:t>IoT</w:t>
      </w:r>
      <w:proofErr w:type="spellEnd"/>
      <w:r>
        <w:rPr>
          <w:rFonts w:cs="Arial"/>
          <w:szCs w:val="20"/>
        </w:rPr>
        <w:t xml:space="preserve">. </w:t>
      </w:r>
    </w:p>
    <w:p w:rsidR="00015791" w:rsidRDefault="00015791" w:rsidP="00015791">
      <w:pPr>
        <w:rPr>
          <w:rFonts w:cs="Arial"/>
          <w:szCs w:val="20"/>
        </w:rPr>
      </w:pPr>
      <w:r>
        <w:rPr>
          <w:rFonts w:cs="Arial"/>
          <w:szCs w:val="20"/>
        </w:rPr>
        <w:t>En effet, les usages qui vont se développer dans l’</w:t>
      </w:r>
      <w:proofErr w:type="spellStart"/>
      <w:r>
        <w:rPr>
          <w:rFonts w:cs="Arial"/>
          <w:szCs w:val="20"/>
        </w:rPr>
        <w:t>IoT</w:t>
      </w:r>
      <w:proofErr w:type="spellEnd"/>
      <w:r>
        <w:rPr>
          <w:rFonts w:cs="Arial"/>
          <w:szCs w:val="20"/>
        </w:rPr>
        <w:t xml:space="preserve">, (…), du type de celui utilisé par </w:t>
      </w:r>
      <w:proofErr w:type="spellStart"/>
      <w:r>
        <w:rPr>
          <w:rFonts w:cs="Arial"/>
          <w:szCs w:val="20"/>
        </w:rPr>
        <w:t>Transatel</w:t>
      </w:r>
      <w:proofErr w:type="spellEnd"/>
      <w:r>
        <w:rPr>
          <w:rFonts w:cs="Arial"/>
          <w:szCs w:val="20"/>
        </w:rPr>
        <w:t xml:space="preserve">, pourraient s’apparenter à des cas de </w:t>
      </w:r>
      <w:proofErr w:type="spellStart"/>
      <w:r>
        <w:rPr>
          <w:rFonts w:cs="Arial"/>
          <w:szCs w:val="20"/>
        </w:rPr>
        <w:t>roaming</w:t>
      </w:r>
      <w:proofErr w:type="spellEnd"/>
      <w:r>
        <w:rPr>
          <w:rFonts w:cs="Arial"/>
          <w:szCs w:val="20"/>
        </w:rPr>
        <w:t xml:space="preserve"> permanent, qui pourraient être interdits par les opérateurs. </w:t>
      </w:r>
    </w:p>
    <w:p w:rsidR="00015791" w:rsidRDefault="00015791" w:rsidP="00015791">
      <w:pPr>
        <w:rPr>
          <w:rFonts w:cs="Arial"/>
          <w:szCs w:val="20"/>
        </w:rPr>
      </w:pPr>
      <w:r>
        <w:rPr>
          <w:rFonts w:cs="Arial"/>
          <w:szCs w:val="20"/>
        </w:rPr>
        <w:t xml:space="preserve">Or, compte tenu des évolutions des marchés et des besoins exprimés par les acteurs économiques, il est primordial que ces cas d’usage ne soient pas « empêchés », et que l’interprétation du règlement </w:t>
      </w:r>
      <w:proofErr w:type="spellStart"/>
      <w:r>
        <w:rPr>
          <w:rFonts w:cs="Arial"/>
          <w:szCs w:val="20"/>
        </w:rPr>
        <w:t>roaming</w:t>
      </w:r>
      <w:proofErr w:type="spellEnd"/>
      <w:r>
        <w:rPr>
          <w:rFonts w:cs="Arial"/>
          <w:szCs w:val="20"/>
        </w:rPr>
        <w:t xml:space="preserve"> favorise au contraire le développement des opérateurs comme </w:t>
      </w:r>
      <w:proofErr w:type="spellStart"/>
      <w:r>
        <w:rPr>
          <w:rFonts w:cs="Arial"/>
          <w:szCs w:val="20"/>
        </w:rPr>
        <w:t>Transatel</w:t>
      </w:r>
      <w:proofErr w:type="spellEnd"/>
      <w:r>
        <w:rPr>
          <w:rFonts w:cs="Arial"/>
          <w:szCs w:val="20"/>
        </w:rPr>
        <w:t xml:space="preserve"> sur l’</w:t>
      </w:r>
      <w:proofErr w:type="spellStart"/>
      <w:r>
        <w:rPr>
          <w:rFonts w:cs="Arial"/>
          <w:szCs w:val="20"/>
        </w:rPr>
        <w:t>IoT</w:t>
      </w:r>
      <w:proofErr w:type="spellEnd"/>
      <w:r>
        <w:rPr>
          <w:rFonts w:cs="Arial"/>
          <w:szCs w:val="20"/>
        </w:rPr>
        <w:t xml:space="preserve">, par le biais d’un accès garanti aux réseaux des MNO européens. </w:t>
      </w:r>
    </w:p>
    <w:p w:rsidR="00015791" w:rsidRDefault="00015791" w:rsidP="00015791">
      <w:pPr>
        <w:rPr>
          <w:rFonts w:cs="Arial"/>
          <w:szCs w:val="20"/>
        </w:rPr>
      </w:pPr>
      <w:proofErr w:type="spellStart"/>
      <w:r>
        <w:rPr>
          <w:rFonts w:cs="Arial"/>
          <w:szCs w:val="20"/>
        </w:rPr>
        <w:t>Transatel</w:t>
      </w:r>
      <w:proofErr w:type="spellEnd"/>
      <w:r>
        <w:rPr>
          <w:rFonts w:cs="Arial"/>
          <w:szCs w:val="20"/>
        </w:rPr>
        <w:t xml:space="preserve"> pense donc qu’il convient au sein des institutions européennes de redéfinir, si nécessaire, la notion de permanent </w:t>
      </w:r>
      <w:proofErr w:type="spellStart"/>
      <w:r>
        <w:rPr>
          <w:rFonts w:cs="Arial"/>
          <w:szCs w:val="20"/>
        </w:rPr>
        <w:t>roaming</w:t>
      </w:r>
      <w:proofErr w:type="spellEnd"/>
      <w:r>
        <w:rPr>
          <w:rFonts w:cs="Arial"/>
          <w:szCs w:val="20"/>
        </w:rPr>
        <w:t xml:space="preserve"> dans le cadre de l’</w:t>
      </w:r>
      <w:proofErr w:type="spellStart"/>
      <w:r>
        <w:rPr>
          <w:rFonts w:cs="Arial"/>
          <w:szCs w:val="20"/>
        </w:rPr>
        <w:t>IoT</w:t>
      </w:r>
      <w:proofErr w:type="spellEnd"/>
      <w:r>
        <w:rPr>
          <w:rFonts w:cs="Arial"/>
          <w:szCs w:val="20"/>
        </w:rPr>
        <w:t xml:space="preserve">. </w:t>
      </w:r>
    </w:p>
    <w:p w:rsidR="00015791" w:rsidRDefault="00015791" w:rsidP="00015791">
      <w:pPr>
        <w:rPr>
          <w:rFonts w:cs="Arial"/>
          <w:szCs w:val="20"/>
        </w:rPr>
      </w:pPr>
      <w:r>
        <w:rPr>
          <w:rFonts w:cs="Arial"/>
          <w:szCs w:val="20"/>
        </w:rPr>
        <w:t>Il faut bien voir que le développement économique des acteurs de l’</w:t>
      </w:r>
      <w:proofErr w:type="spellStart"/>
      <w:r>
        <w:rPr>
          <w:rFonts w:cs="Arial"/>
          <w:szCs w:val="20"/>
        </w:rPr>
        <w:t>IoT</w:t>
      </w:r>
      <w:proofErr w:type="spellEnd"/>
      <w:r>
        <w:rPr>
          <w:rFonts w:cs="Arial"/>
          <w:szCs w:val="20"/>
        </w:rPr>
        <w:t xml:space="preserve"> va nécessiter des économies d’échelle, lesquelles ne pourront se réaliser qu’au niveau du territoire européen, au sein duquel des règles telles que celle de l’interdiction du permanent </w:t>
      </w:r>
      <w:proofErr w:type="spellStart"/>
      <w:r>
        <w:rPr>
          <w:rFonts w:cs="Arial"/>
          <w:szCs w:val="20"/>
        </w:rPr>
        <w:t>roaming</w:t>
      </w:r>
      <w:proofErr w:type="spellEnd"/>
      <w:r>
        <w:rPr>
          <w:rFonts w:cs="Arial"/>
          <w:szCs w:val="20"/>
        </w:rPr>
        <w:t xml:space="preserve"> ne doivent pas limiter la capacité de croissance économique des activités dans l’</w:t>
      </w:r>
      <w:proofErr w:type="spellStart"/>
      <w:r>
        <w:rPr>
          <w:rFonts w:cs="Arial"/>
          <w:szCs w:val="20"/>
        </w:rPr>
        <w:t>IoT</w:t>
      </w:r>
      <w:proofErr w:type="spellEnd"/>
      <w:r>
        <w:rPr>
          <w:rFonts w:cs="Arial"/>
          <w:szCs w:val="20"/>
        </w:rPr>
        <w:t xml:space="preserve">, au détriment d’acteurs étrangers bénéficiant d’un plus grand effet de levier en termes de couverture géographique. </w:t>
      </w:r>
    </w:p>
    <w:p w:rsidR="00015791" w:rsidRDefault="00015791" w:rsidP="00015791">
      <w:pPr>
        <w:rPr>
          <w:rFonts w:cs="Arial"/>
          <w:szCs w:val="20"/>
        </w:rPr>
      </w:pPr>
      <w:r>
        <w:rPr>
          <w:rFonts w:cs="Arial"/>
          <w:szCs w:val="20"/>
        </w:rPr>
        <w:t xml:space="preserve">La notion de permanent </w:t>
      </w:r>
      <w:proofErr w:type="spellStart"/>
      <w:r>
        <w:rPr>
          <w:rFonts w:cs="Arial"/>
          <w:szCs w:val="20"/>
        </w:rPr>
        <w:t>roaming</w:t>
      </w:r>
      <w:proofErr w:type="spellEnd"/>
      <w:r>
        <w:rPr>
          <w:rFonts w:cs="Arial"/>
          <w:szCs w:val="20"/>
        </w:rPr>
        <w:t xml:space="preserve">, qui a été dégagée à l’occasion de la mise en œuvre de la réglementation </w:t>
      </w:r>
      <w:proofErr w:type="spellStart"/>
      <w:r>
        <w:rPr>
          <w:rFonts w:cs="Arial"/>
          <w:szCs w:val="20"/>
        </w:rPr>
        <w:t>roaming</w:t>
      </w:r>
      <w:proofErr w:type="spellEnd"/>
      <w:r>
        <w:rPr>
          <w:rFonts w:cs="Arial"/>
          <w:szCs w:val="20"/>
        </w:rPr>
        <w:t>, doit être (si cela est nécessaire) repensée entièrement dans le cadre de l’</w:t>
      </w:r>
      <w:proofErr w:type="spellStart"/>
      <w:r>
        <w:rPr>
          <w:rFonts w:cs="Arial"/>
          <w:szCs w:val="20"/>
        </w:rPr>
        <w:t>IoT</w:t>
      </w:r>
      <w:proofErr w:type="spellEnd"/>
      <w:r>
        <w:rPr>
          <w:rFonts w:cs="Arial"/>
          <w:szCs w:val="20"/>
        </w:rPr>
        <w:t xml:space="preserve">. </w:t>
      </w:r>
    </w:p>
    <w:p w:rsidR="00015791" w:rsidRDefault="00015791" w:rsidP="00015791">
      <w:pPr>
        <w:rPr>
          <w:rFonts w:cs="Arial"/>
          <w:szCs w:val="20"/>
        </w:rPr>
      </w:pPr>
      <w:proofErr w:type="spellStart"/>
      <w:r>
        <w:rPr>
          <w:rFonts w:cs="Arial"/>
          <w:szCs w:val="20"/>
        </w:rPr>
        <w:t>Transatel</w:t>
      </w:r>
      <w:proofErr w:type="spellEnd"/>
      <w:r>
        <w:rPr>
          <w:rFonts w:cs="Arial"/>
          <w:szCs w:val="20"/>
        </w:rPr>
        <w:t xml:space="preserve"> souhaite ainsi prendre toute sa part dans ce débat en tant qu’acteur directement concerné par cette problématique. </w:t>
      </w:r>
    </w:p>
    <w:p w:rsidR="00015791" w:rsidRDefault="00015791" w:rsidP="00015791">
      <w:pPr>
        <w:rPr>
          <w:rFonts w:cs="Arial"/>
          <w:szCs w:val="20"/>
        </w:rPr>
      </w:pPr>
      <w:r>
        <w:rPr>
          <w:rFonts w:cs="Arial"/>
          <w:szCs w:val="20"/>
        </w:rPr>
        <w:t>(…)</w:t>
      </w:r>
    </w:p>
    <w:p w:rsidR="00015791" w:rsidRDefault="00015791" w:rsidP="00015791">
      <w:pPr>
        <w:rPr>
          <w:rFonts w:cs="Arial"/>
          <w:szCs w:val="20"/>
        </w:rPr>
      </w:pPr>
    </w:p>
    <w:p w:rsidR="00015791" w:rsidRDefault="00015791" w:rsidP="00015791">
      <w:pPr>
        <w:spacing w:after="160" w:line="256" w:lineRule="auto"/>
        <w:rPr>
          <w:rFonts w:cs="Arial"/>
          <w:b/>
          <w:szCs w:val="20"/>
        </w:rPr>
      </w:pPr>
      <w:r>
        <w:rPr>
          <w:rFonts w:cs="Arial"/>
          <w:b/>
          <w:szCs w:val="20"/>
        </w:rPr>
        <w:t xml:space="preserve">Question n° 5 : La mise en place d’un portail des fréquences libres vous semble-t-elle pertinente ? Que pensez-vous de la faisabilité de mise en œuvre d’un dispositif d’évaluation des usages en bandes libres ? Comment surmonter le fait que, par construction, l’Arcep ne connaît pas ex ante les utilisateurs de fréquences libres (au contraire des fréquences </w:t>
      </w:r>
      <w:r>
        <w:rPr>
          <w:rFonts w:cs="Arial"/>
          <w:b/>
          <w:szCs w:val="20"/>
        </w:rPr>
        <w:lastRenderedPageBreak/>
        <w:t>attribuées par autorisations) ? Avez-vous des commentaires supplémentaires relatifs aux bandes libres, notamment leur identification ou règles d’utilisation ?</w:t>
      </w:r>
    </w:p>
    <w:p w:rsidR="00015791" w:rsidRDefault="00015791" w:rsidP="00015791">
      <w:pPr>
        <w:spacing w:after="160" w:line="256" w:lineRule="auto"/>
        <w:rPr>
          <w:rFonts w:cs="Arial"/>
          <w:szCs w:val="20"/>
        </w:rPr>
      </w:pPr>
    </w:p>
    <w:p w:rsidR="00015791" w:rsidRDefault="00015791" w:rsidP="00015791">
      <w:pPr>
        <w:spacing w:after="160" w:line="256" w:lineRule="auto"/>
        <w:rPr>
          <w:rFonts w:cs="Arial"/>
          <w:szCs w:val="20"/>
        </w:rPr>
      </w:pPr>
      <w:proofErr w:type="spellStart"/>
      <w:r>
        <w:rPr>
          <w:rFonts w:cs="Arial"/>
          <w:szCs w:val="20"/>
        </w:rPr>
        <w:t>Transatel</w:t>
      </w:r>
      <w:proofErr w:type="spellEnd"/>
      <w:r>
        <w:rPr>
          <w:rFonts w:cs="Arial"/>
          <w:szCs w:val="20"/>
        </w:rPr>
        <w:t xml:space="preserve"> supporte la démarche de l’ARCEP lui permettant d’évaluer l’usage des fréquences libres. </w:t>
      </w:r>
    </w:p>
    <w:p w:rsidR="00015791" w:rsidRDefault="00015791" w:rsidP="00015791">
      <w:pPr>
        <w:spacing w:after="160" w:line="256" w:lineRule="auto"/>
        <w:rPr>
          <w:rFonts w:cs="Arial"/>
          <w:szCs w:val="20"/>
        </w:rPr>
      </w:pPr>
    </w:p>
    <w:p w:rsidR="00015791" w:rsidRDefault="00015791" w:rsidP="00015791">
      <w:pPr>
        <w:spacing w:after="160" w:line="256" w:lineRule="auto"/>
        <w:rPr>
          <w:rFonts w:cs="Arial"/>
          <w:b/>
          <w:szCs w:val="20"/>
        </w:rPr>
      </w:pPr>
      <w:r>
        <w:rPr>
          <w:rFonts w:cs="Arial"/>
          <w:b/>
          <w:szCs w:val="20"/>
        </w:rPr>
        <w:t>Question n° 6 : Quelle est votre vision de la pénurie des identifiants, notamment IP, dans le cadre de l’internet des objets ?</w:t>
      </w:r>
    </w:p>
    <w:p w:rsidR="00015791" w:rsidRDefault="00015791" w:rsidP="00015791">
      <w:pPr>
        <w:spacing w:after="160" w:line="256" w:lineRule="auto"/>
        <w:rPr>
          <w:rFonts w:cs="Arial"/>
          <w:szCs w:val="20"/>
        </w:rPr>
      </w:pPr>
    </w:p>
    <w:p w:rsidR="00015791" w:rsidRDefault="00015791" w:rsidP="00015791">
      <w:pPr>
        <w:spacing w:after="160" w:line="256" w:lineRule="auto"/>
        <w:rPr>
          <w:rFonts w:cs="Arial"/>
          <w:szCs w:val="20"/>
        </w:rPr>
      </w:pPr>
      <w:proofErr w:type="spellStart"/>
      <w:r>
        <w:rPr>
          <w:rFonts w:cs="Arial"/>
          <w:szCs w:val="20"/>
        </w:rPr>
        <w:t>Transatel</w:t>
      </w:r>
      <w:proofErr w:type="spellEnd"/>
      <w:r>
        <w:rPr>
          <w:rFonts w:cs="Arial"/>
          <w:szCs w:val="20"/>
        </w:rPr>
        <w:t xml:space="preserve"> tient simplement à préciser que, dans le secteur de la téléphonie mobile, le NAT (Network </w:t>
      </w:r>
      <w:proofErr w:type="spellStart"/>
      <w:r>
        <w:rPr>
          <w:rFonts w:cs="Arial"/>
          <w:szCs w:val="20"/>
        </w:rPr>
        <w:t>Address</w:t>
      </w:r>
      <w:proofErr w:type="spellEnd"/>
      <w:r>
        <w:rPr>
          <w:rFonts w:cs="Arial"/>
          <w:szCs w:val="20"/>
        </w:rPr>
        <w:t xml:space="preserve"> Translation) est très utilisé, de telle sorte que les mobiles ont des adresses IP privées (les opérateurs peuvent utiliser ces mêmes « ranges » d’IP sans conflits). La pénurie des adresses IP est donc moins flagrante que dans le secteur de la téléphonie fixe où chaque box a une IP publique.</w:t>
      </w:r>
    </w:p>
    <w:p w:rsidR="00015791" w:rsidRDefault="00015791" w:rsidP="00015791">
      <w:pPr>
        <w:spacing w:after="160" w:line="256" w:lineRule="auto"/>
        <w:rPr>
          <w:rFonts w:cs="Arial"/>
          <w:szCs w:val="20"/>
        </w:rPr>
      </w:pPr>
      <w:r>
        <w:rPr>
          <w:rFonts w:cs="Arial"/>
          <w:szCs w:val="20"/>
        </w:rPr>
        <w:t xml:space="preserve">Selon </w:t>
      </w:r>
      <w:proofErr w:type="spellStart"/>
      <w:r>
        <w:rPr>
          <w:rFonts w:cs="Arial"/>
          <w:szCs w:val="20"/>
        </w:rPr>
        <w:t>Transatel</w:t>
      </w:r>
      <w:proofErr w:type="spellEnd"/>
      <w:r>
        <w:rPr>
          <w:rFonts w:cs="Arial"/>
          <w:szCs w:val="20"/>
        </w:rPr>
        <w:t>, l’</w:t>
      </w:r>
      <w:proofErr w:type="spellStart"/>
      <w:r>
        <w:rPr>
          <w:rFonts w:cs="Arial"/>
          <w:szCs w:val="20"/>
        </w:rPr>
        <w:t>IoT</w:t>
      </w:r>
      <w:proofErr w:type="spellEnd"/>
      <w:r>
        <w:rPr>
          <w:rFonts w:cs="Arial"/>
          <w:szCs w:val="20"/>
        </w:rPr>
        <w:t xml:space="preserve"> IPV6 est intéressant pour permettre aux « </w:t>
      </w:r>
      <w:proofErr w:type="spellStart"/>
      <w:r>
        <w:rPr>
          <w:rFonts w:cs="Arial"/>
          <w:szCs w:val="20"/>
        </w:rPr>
        <w:t>Devices</w:t>
      </w:r>
      <w:proofErr w:type="spellEnd"/>
      <w:r>
        <w:rPr>
          <w:rFonts w:cs="Arial"/>
          <w:szCs w:val="20"/>
        </w:rPr>
        <w:t> » de se connecter en public directement, mais les « use case » restent limités.</w:t>
      </w:r>
    </w:p>
    <w:p w:rsidR="00015791" w:rsidRDefault="00015791" w:rsidP="00015791">
      <w:pPr>
        <w:spacing w:after="160" w:line="256" w:lineRule="auto"/>
        <w:rPr>
          <w:rFonts w:cs="Arial"/>
          <w:szCs w:val="20"/>
        </w:rPr>
      </w:pPr>
      <w:r>
        <w:rPr>
          <w:rFonts w:cs="Arial"/>
          <w:szCs w:val="20"/>
        </w:rPr>
        <w:t xml:space="preserve">Pour information, </w:t>
      </w:r>
      <w:proofErr w:type="spellStart"/>
      <w:r>
        <w:rPr>
          <w:rFonts w:cs="Arial"/>
          <w:szCs w:val="20"/>
        </w:rPr>
        <w:t>Transatel</w:t>
      </w:r>
      <w:proofErr w:type="spellEnd"/>
      <w:r>
        <w:rPr>
          <w:rFonts w:cs="Arial"/>
          <w:szCs w:val="20"/>
        </w:rPr>
        <w:t xml:space="preserve"> n’a pas commencé à déployer l’IPV6 bien que son réseau mobile soit compatible. </w:t>
      </w:r>
    </w:p>
    <w:p w:rsidR="00015791" w:rsidRDefault="00015791" w:rsidP="00015791">
      <w:pPr>
        <w:spacing w:after="160" w:line="256" w:lineRule="auto"/>
        <w:rPr>
          <w:rFonts w:cs="Arial"/>
          <w:szCs w:val="20"/>
        </w:rPr>
      </w:pPr>
    </w:p>
    <w:p w:rsidR="00015791" w:rsidRDefault="00015791" w:rsidP="00015791">
      <w:pPr>
        <w:spacing w:after="160" w:line="256" w:lineRule="auto"/>
        <w:rPr>
          <w:rFonts w:cs="Arial"/>
          <w:b/>
          <w:szCs w:val="20"/>
        </w:rPr>
      </w:pPr>
      <w:r>
        <w:rPr>
          <w:rFonts w:cs="Arial"/>
          <w:b/>
          <w:szCs w:val="20"/>
        </w:rPr>
        <w:t>Question n° 7 : Avez-vous d’autres observations au regard des orientations énoncées ci-dessus ?</w:t>
      </w:r>
    </w:p>
    <w:p w:rsidR="00015791" w:rsidRDefault="00015791" w:rsidP="00015791">
      <w:pPr>
        <w:spacing w:after="160" w:line="256" w:lineRule="auto"/>
        <w:rPr>
          <w:rFonts w:cs="Arial"/>
          <w:szCs w:val="20"/>
        </w:rPr>
      </w:pPr>
    </w:p>
    <w:p w:rsidR="00015791" w:rsidRDefault="00015791" w:rsidP="00015791">
      <w:pPr>
        <w:spacing w:after="160" w:line="256" w:lineRule="auto"/>
        <w:rPr>
          <w:rFonts w:cs="Arial"/>
          <w:szCs w:val="20"/>
        </w:rPr>
      </w:pPr>
      <w:proofErr w:type="spellStart"/>
      <w:r>
        <w:rPr>
          <w:rFonts w:cs="Arial"/>
          <w:szCs w:val="20"/>
        </w:rPr>
        <w:t>Transatel</w:t>
      </w:r>
      <w:proofErr w:type="spellEnd"/>
      <w:r>
        <w:rPr>
          <w:rFonts w:cs="Arial"/>
          <w:szCs w:val="20"/>
        </w:rPr>
        <w:t xml:space="preserve"> réitère ici son intérêt exprimé pour la technologie LPWA, dans la réponse à la question n°3 ci-dessus.</w:t>
      </w:r>
    </w:p>
    <w:p w:rsidR="00015791" w:rsidRDefault="00015791" w:rsidP="00015791">
      <w:pPr>
        <w:spacing w:after="160" w:line="256" w:lineRule="auto"/>
        <w:rPr>
          <w:rFonts w:cs="Arial"/>
          <w:szCs w:val="20"/>
        </w:rPr>
      </w:pPr>
    </w:p>
    <w:p w:rsidR="00015791" w:rsidRDefault="00015791" w:rsidP="00015791">
      <w:pPr>
        <w:spacing w:after="160" w:line="256" w:lineRule="auto"/>
        <w:jc w:val="left"/>
        <w:rPr>
          <w:rFonts w:cs="Arial"/>
          <w:b/>
          <w:szCs w:val="20"/>
        </w:rPr>
      </w:pPr>
      <w:r>
        <w:rPr>
          <w:rFonts w:cs="Arial"/>
          <w:b/>
          <w:szCs w:val="20"/>
        </w:rPr>
        <w:br w:type="page"/>
      </w:r>
    </w:p>
    <w:p w:rsidR="00015791" w:rsidRDefault="00015791" w:rsidP="00015791">
      <w:pPr>
        <w:rPr>
          <w:rFonts w:cs="Arial"/>
          <w:b/>
          <w:szCs w:val="20"/>
        </w:rPr>
      </w:pPr>
      <w:r>
        <w:rPr>
          <w:rFonts w:cs="Arial"/>
          <w:b/>
          <w:szCs w:val="20"/>
        </w:rPr>
        <w:lastRenderedPageBreak/>
        <w:t xml:space="preserve">Question n° 8 : Avez-vous des commentaires relatifs aux démarches européennes engagées au sujet de l’internet des objets ? </w:t>
      </w:r>
    </w:p>
    <w:p w:rsidR="00015791" w:rsidRDefault="00015791" w:rsidP="00015791">
      <w:pPr>
        <w:rPr>
          <w:rFonts w:cs="Arial"/>
          <w:b/>
          <w:szCs w:val="20"/>
        </w:rPr>
      </w:pPr>
    </w:p>
    <w:p w:rsidR="00015791" w:rsidRDefault="00015791" w:rsidP="00015791">
      <w:pPr>
        <w:rPr>
          <w:rFonts w:cs="Arial"/>
          <w:szCs w:val="20"/>
        </w:rPr>
      </w:pPr>
      <w:r>
        <w:rPr>
          <w:rFonts w:cs="Arial"/>
          <w:szCs w:val="20"/>
        </w:rPr>
        <w:t xml:space="preserve">Les deux points d’attention de </w:t>
      </w:r>
      <w:proofErr w:type="spellStart"/>
      <w:r>
        <w:rPr>
          <w:rFonts w:cs="Arial"/>
          <w:szCs w:val="20"/>
        </w:rPr>
        <w:t>Transatel</w:t>
      </w:r>
      <w:proofErr w:type="spellEnd"/>
      <w:r>
        <w:rPr>
          <w:rFonts w:cs="Arial"/>
          <w:szCs w:val="20"/>
        </w:rPr>
        <w:t xml:space="preserve"> au niveau européen sont développés dans les réponses aux questions n°4 et n°9, qui concernent :</w:t>
      </w:r>
    </w:p>
    <w:p w:rsidR="00015791" w:rsidRDefault="00015791" w:rsidP="00015791">
      <w:pPr>
        <w:pStyle w:val="Paragraphedeliste"/>
        <w:numPr>
          <w:ilvl w:val="0"/>
          <w:numId w:val="1"/>
        </w:numPr>
        <w:rPr>
          <w:rFonts w:cs="Arial"/>
          <w:szCs w:val="20"/>
        </w:rPr>
      </w:pPr>
      <w:r>
        <w:rPr>
          <w:rFonts w:cs="Arial"/>
          <w:szCs w:val="20"/>
        </w:rPr>
        <w:t xml:space="preserve">L’application ou non d’une nouvelle définition du permanent </w:t>
      </w:r>
      <w:proofErr w:type="spellStart"/>
      <w:r>
        <w:rPr>
          <w:rFonts w:cs="Arial"/>
          <w:szCs w:val="20"/>
        </w:rPr>
        <w:t>roaming</w:t>
      </w:r>
      <w:proofErr w:type="spellEnd"/>
      <w:r>
        <w:rPr>
          <w:rFonts w:cs="Arial"/>
          <w:szCs w:val="20"/>
        </w:rPr>
        <w:t xml:space="preserve"> pour l’</w:t>
      </w:r>
      <w:proofErr w:type="spellStart"/>
      <w:r>
        <w:rPr>
          <w:rFonts w:cs="Arial"/>
          <w:szCs w:val="20"/>
        </w:rPr>
        <w:t>IoT</w:t>
      </w:r>
      <w:proofErr w:type="spellEnd"/>
      <w:r>
        <w:rPr>
          <w:rFonts w:cs="Arial"/>
          <w:szCs w:val="20"/>
        </w:rPr>
        <w:t> ;</w:t>
      </w:r>
    </w:p>
    <w:p w:rsidR="00015791" w:rsidRDefault="00015791" w:rsidP="00015791">
      <w:pPr>
        <w:pStyle w:val="Paragraphedeliste"/>
        <w:numPr>
          <w:ilvl w:val="0"/>
          <w:numId w:val="1"/>
        </w:numPr>
        <w:rPr>
          <w:rFonts w:cs="Arial"/>
          <w:szCs w:val="20"/>
        </w:rPr>
      </w:pPr>
      <w:r>
        <w:rPr>
          <w:rFonts w:cs="Arial"/>
          <w:szCs w:val="20"/>
        </w:rPr>
        <w:t>Les conditions de mise à jour à distance des cartes SIM dans l’</w:t>
      </w:r>
      <w:proofErr w:type="spellStart"/>
      <w:r>
        <w:rPr>
          <w:rFonts w:cs="Arial"/>
          <w:szCs w:val="20"/>
        </w:rPr>
        <w:t>IoT</w:t>
      </w:r>
      <w:proofErr w:type="spellEnd"/>
      <w:r>
        <w:rPr>
          <w:rFonts w:cs="Arial"/>
          <w:szCs w:val="20"/>
        </w:rPr>
        <w:t>.</w:t>
      </w:r>
    </w:p>
    <w:p w:rsidR="00015791" w:rsidRDefault="00015791" w:rsidP="00015791">
      <w:pPr>
        <w:rPr>
          <w:rFonts w:cs="Arial"/>
          <w:b/>
          <w:szCs w:val="20"/>
        </w:rPr>
      </w:pPr>
    </w:p>
    <w:p w:rsidR="00015791" w:rsidRDefault="00015791" w:rsidP="00015791">
      <w:pPr>
        <w:rPr>
          <w:rFonts w:cs="Arial"/>
          <w:b/>
          <w:szCs w:val="20"/>
        </w:rPr>
      </w:pPr>
      <w:r>
        <w:rPr>
          <w:rFonts w:cs="Arial"/>
          <w:b/>
          <w:szCs w:val="20"/>
        </w:rPr>
        <w:t xml:space="preserve">Question n° 9 : La généralisation des solutions de mise à jour à distance des cartes SIM vous semble-t-elle pertinente pour favoriser l’ouverture de l’internet des objets ? Quelle devrait être selon vous l’action de l’Arcep à cet égard ? </w:t>
      </w:r>
    </w:p>
    <w:p w:rsidR="00015791" w:rsidRDefault="00015791" w:rsidP="00015791">
      <w:pPr>
        <w:rPr>
          <w:rFonts w:cs="Arial"/>
          <w:szCs w:val="20"/>
        </w:rPr>
      </w:pPr>
    </w:p>
    <w:p w:rsidR="00015791" w:rsidRDefault="00015791" w:rsidP="00015791">
      <w:pPr>
        <w:rPr>
          <w:rFonts w:cs="Arial"/>
          <w:i/>
          <w:szCs w:val="20"/>
        </w:rPr>
      </w:pPr>
      <w:proofErr w:type="spellStart"/>
      <w:r>
        <w:rPr>
          <w:rFonts w:cs="Arial"/>
          <w:szCs w:val="20"/>
        </w:rPr>
        <w:t>Transatel</w:t>
      </w:r>
      <w:proofErr w:type="spellEnd"/>
      <w:r>
        <w:rPr>
          <w:rFonts w:cs="Arial"/>
          <w:szCs w:val="20"/>
        </w:rPr>
        <w:t xml:space="preserve"> rappelle ici l’orientation n°14, énoncée par l’ARCEP : « </w:t>
      </w:r>
      <w:r>
        <w:rPr>
          <w:rFonts w:cs="Arial"/>
          <w:i/>
          <w:szCs w:val="20"/>
        </w:rPr>
        <w:t>L’Arcep prévoit de poursuivre ses travaux, menés notamment dans le cadre de l’ORECE, visant à favoriser la normalisation et la diffusion des solutions de mise à jour à distance des cartes SIM pour les objets connectés, qui soient ouvertes à tous les opérateurs.</w:t>
      </w:r>
      <w:r>
        <w:rPr>
          <w:rFonts w:cs="Arial"/>
          <w:szCs w:val="20"/>
        </w:rPr>
        <w:t> »</w:t>
      </w:r>
    </w:p>
    <w:p w:rsidR="00015791" w:rsidRDefault="00015791" w:rsidP="00015791">
      <w:pPr>
        <w:rPr>
          <w:rFonts w:cs="Arial"/>
          <w:szCs w:val="20"/>
        </w:rPr>
      </w:pPr>
    </w:p>
    <w:p w:rsidR="00015791" w:rsidRDefault="00015791" w:rsidP="00015791">
      <w:pPr>
        <w:rPr>
          <w:rFonts w:cs="Arial"/>
          <w:szCs w:val="20"/>
        </w:rPr>
      </w:pPr>
      <w:r>
        <w:rPr>
          <w:rFonts w:cs="Arial"/>
          <w:szCs w:val="20"/>
        </w:rPr>
        <w:t>La généralisation des solutions de mise à jour à distance des cartes SIM nous semble être un élément primordial du développement de l’internet des objets, car elles favorisent l’indépendance des acteurs de l’</w:t>
      </w:r>
      <w:proofErr w:type="spellStart"/>
      <w:r>
        <w:rPr>
          <w:rFonts w:cs="Arial"/>
          <w:szCs w:val="20"/>
        </w:rPr>
        <w:t>IoT</w:t>
      </w:r>
      <w:proofErr w:type="spellEnd"/>
      <w:r>
        <w:rPr>
          <w:rFonts w:cs="Arial"/>
          <w:szCs w:val="20"/>
        </w:rPr>
        <w:t xml:space="preserve"> par rapport aux opérateurs de réseau mobile. En effet, </w:t>
      </w:r>
      <w:proofErr w:type="spellStart"/>
      <w:r>
        <w:rPr>
          <w:rFonts w:cs="Arial"/>
          <w:szCs w:val="20"/>
        </w:rPr>
        <w:t>Transatel</w:t>
      </w:r>
      <w:proofErr w:type="spellEnd"/>
      <w:r>
        <w:rPr>
          <w:rFonts w:cs="Arial"/>
          <w:szCs w:val="20"/>
        </w:rPr>
        <w:t xml:space="preserve"> est convaincu que le développement de l’économie autour de l’internet des objets sera d’autant plus important que ses acteurs seront indépendants techniquement des réseaux utilisés, et qu’ils disposeront ainsi d’une plus grande autonomie pour la conception et l’opération de leurs propres offres. </w:t>
      </w:r>
    </w:p>
    <w:p w:rsidR="00015791" w:rsidRDefault="00015791" w:rsidP="00015791">
      <w:pPr>
        <w:rPr>
          <w:rFonts w:cs="Arial"/>
          <w:szCs w:val="20"/>
        </w:rPr>
      </w:pPr>
      <w:r>
        <w:rPr>
          <w:rFonts w:cs="Arial"/>
          <w:szCs w:val="20"/>
        </w:rPr>
        <w:t xml:space="preserve">Ainsi les solutions de mise à jour à distance des cartes SIM doivent être favorisées </w:t>
      </w:r>
      <w:r>
        <w:rPr>
          <w:rFonts w:cs="Arial"/>
          <w:b/>
          <w:szCs w:val="20"/>
          <w:u w:val="single"/>
        </w:rPr>
        <w:t>dans certaines conditions</w:t>
      </w:r>
      <w:r>
        <w:rPr>
          <w:rFonts w:cs="Arial"/>
          <w:szCs w:val="20"/>
        </w:rPr>
        <w:t xml:space="preserve">, afin de garantir l’indépendance des acteurs par rapport à l’accès aux réseaux utilisés. Les régulateurs nationaux et européens doivent veiller à ce que cet accès ne soit pas verrouillé d’une manière ou d’une autre, excluant ainsi certains acteurs du jeu concurrentiel. </w:t>
      </w:r>
    </w:p>
    <w:p w:rsidR="00015791" w:rsidRDefault="00015791" w:rsidP="00015791">
      <w:pPr>
        <w:rPr>
          <w:rFonts w:cs="Arial"/>
          <w:szCs w:val="20"/>
        </w:rPr>
      </w:pPr>
      <w:r>
        <w:rPr>
          <w:rFonts w:cs="Arial"/>
          <w:szCs w:val="20"/>
        </w:rPr>
        <w:t xml:space="preserve">Par exemple, nous savons qu’au sein de la GSMA, et notamment au sein de sous-groupes dédié à l’automobile (dont les Full MVNO ne sont pas membres), les opérateurs discutent de modalités selon lesquelles ils pourraient s’accorder pour permettre qu’un opérateur ayant mis à jour à distance une carte SIM, puisse y intégrer des règles techniques (les « Policy </w:t>
      </w:r>
      <w:proofErr w:type="spellStart"/>
      <w:r>
        <w:rPr>
          <w:rFonts w:cs="Arial"/>
          <w:szCs w:val="20"/>
        </w:rPr>
        <w:t>Rules</w:t>
      </w:r>
      <w:proofErr w:type="spellEnd"/>
      <w:r>
        <w:rPr>
          <w:rFonts w:cs="Arial"/>
          <w:szCs w:val="20"/>
        </w:rPr>
        <w:t xml:space="preserve"> ») empêchant cette carte SIM de se remettre à jour pendant une certaine durée, ou prévoyant qu’une carte SIM ne puisse se mettre à jour que sous certaines conditions. Ceci bloque </w:t>
      </w:r>
      <w:r>
        <w:rPr>
          <w:rFonts w:cs="Arial"/>
          <w:i/>
          <w:szCs w:val="20"/>
        </w:rPr>
        <w:t>de facto</w:t>
      </w:r>
      <w:r>
        <w:rPr>
          <w:rFonts w:cs="Arial"/>
          <w:szCs w:val="20"/>
        </w:rPr>
        <w:t xml:space="preserve"> la concurrence sur le marché et représente donc une menace pour la concurrence et le développement économique ; bien que ces « Policy </w:t>
      </w:r>
      <w:proofErr w:type="spellStart"/>
      <w:r>
        <w:rPr>
          <w:rFonts w:cs="Arial"/>
          <w:szCs w:val="20"/>
        </w:rPr>
        <w:t>Rules</w:t>
      </w:r>
      <w:proofErr w:type="spellEnd"/>
      <w:r>
        <w:rPr>
          <w:rFonts w:cs="Arial"/>
          <w:szCs w:val="20"/>
        </w:rPr>
        <w:t> » peuvent parfois se justifier car elles offrent des possibilités techniques en termes d’innovation sur le marché. C’est pour cela qu’elles doivent faire l’objet d’une très vigilance des autorités publiques.</w:t>
      </w:r>
    </w:p>
    <w:p w:rsidR="00015791" w:rsidRDefault="00015791" w:rsidP="00015791">
      <w:pPr>
        <w:rPr>
          <w:rFonts w:cs="Arial"/>
          <w:szCs w:val="20"/>
        </w:rPr>
      </w:pPr>
      <w:proofErr w:type="spellStart"/>
      <w:r>
        <w:rPr>
          <w:rFonts w:cs="Arial"/>
          <w:szCs w:val="20"/>
        </w:rPr>
        <w:t>Transatel</w:t>
      </w:r>
      <w:proofErr w:type="spellEnd"/>
      <w:r>
        <w:rPr>
          <w:rFonts w:cs="Arial"/>
          <w:szCs w:val="20"/>
        </w:rPr>
        <w:t xml:space="preserve"> souhaite donc attirer l’attention de l’ARCEP sur ces discussions, afin que les solutions de mise à jour à distance des cartes SIM :</w:t>
      </w:r>
    </w:p>
    <w:p w:rsidR="00015791" w:rsidRDefault="00015791" w:rsidP="00015791">
      <w:pPr>
        <w:pStyle w:val="Paragraphedeliste"/>
        <w:numPr>
          <w:ilvl w:val="0"/>
          <w:numId w:val="2"/>
        </w:numPr>
        <w:rPr>
          <w:rFonts w:cs="Arial"/>
          <w:szCs w:val="20"/>
        </w:rPr>
      </w:pPr>
      <w:r>
        <w:rPr>
          <w:rFonts w:cs="Arial"/>
          <w:szCs w:val="20"/>
        </w:rPr>
        <w:t>Soient, en premier lieu, discutées en associant le maximum d’acteurs de l’</w:t>
      </w:r>
      <w:proofErr w:type="spellStart"/>
      <w:r>
        <w:rPr>
          <w:rFonts w:cs="Arial"/>
          <w:szCs w:val="20"/>
        </w:rPr>
        <w:t>IoT</w:t>
      </w:r>
      <w:proofErr w:type="spellEnd"/>
      <w:r>
        <w:rPr>
          <w:rFonts w:cs="Arial"/>
          <w:szCs w:val="20"/>
        </w:rPr>
        <w:t xml:space="preserve"> (Full MVNO compris), au sein des instances nationales, européennes et mondiales (GSMA) et, </w:t>
      </w:r>
    </w:p>
    <w:p w:rsidR="00015791" w:rsidRDefault="00015791" w:rsidP="00015791">
      <w:pPr>
        <w:pStyle w:val="Paragraphedeliste"/>
        <w:numPr>
          <w:ilvl w:val="0"/>
          <w:numId w:val="2"/>
        </w:numPr>
        <w:rPr>
          <w:rFonts w:cs="Arial"/>
          <w:szCs w:val="20"/>
        </w:rPr>
      </w:pPr>
      <w:r>
        <w:rPr>
          <w:rFonts w:cs="Arial"/>
          <w:szCs w:val="20"/>
        </w:rPr>
        <w:t>D’autre part, permettent de garantir un accès concurrentiel des acteurs de l’</w:t>
      </w:r>
      <w:proofErr w:type="spellStart"/>
      <w:r>
        <w:rPr>
          <w:rFonts w:cs="Arial"/>
          <w:szCs w:val="20"/>
        </w:rPr>
        <w:t>IoT</w:t>
      </w:r>
      <w:proofErr w:type="spellEnd"/>
      <w:r>
        <w:rPr>
          <w:rFonts w:cs="Arial"/>
          <w:szCs w:val="20"/>
        </w:rPr>
        <w:t xml:space="preserve"> aux solutions de mise à jour à distance des cartes SIM, car il s’agit là d’un élément indispensable pour garantir un accès de l’ensemble des acteurs à ces solutions, leur permettent de commercialiser leurs offres et de conquérir leur clientèle. </w:t>
      </w:r>
    </w:p>
    <w:p w:rsidR="00015791" w:rsidRDefault="00015791" w:rsidP="00015791">
      <w:pPr>
        <w:rPr>
          <w:rFonts w:cs="Arial"/>
          <w:szCs w:val="20"/>
        </w:rPr>
      </w:pPr>
    </w:p>
    <w:p w:rsidR="00015791" w:rsidRDefault="00015791" w:rsidP="00015791">
      <w:pPr>
        <w:rPr>
          <w:rFonts w:cs="Arial"/>
          <w:b/>
          <w:szCs w:val="20"/>
        </w:rPr>
      </w:pPr>
      <w:r>
        <w:rPr>
          <w:rFonts w:cs="Arial"/>
          <w:b/>
          <w:szCs w:val="20"/>
        </w:rPr>
        <w:t xml:space="preserve">Question n° 10 : Enfin, la définition par les pouvoirs publics d’un référentiel commun de comparaison des offres de connectivité vous semble-t-elle appropriée ? En particulier, une implication de l’Arcep au sujet des cartes de couverture des réseaux supports de l’internet des objets vous semble-t-elle souhaitable ? </w:t>
      </w:r>
    </w:p>
    <w:p w:rsidR="00015791" w:rsidRDefault="00015791" w:rsidP="00015791">
      <w:pPr>
        <w:rPr>
          <w:rFonts w:cs="Arial"/>
          <w:szCs w:val="20"/>
        </w:rPr>
      </w:pPr>
    </w:p>
    <w:p w:rsidR="00015791" w:rsidRDefault="00015791" w:rsidP="00015791">
      <w:pPr>
        <w:rPr>
          <w:rFonts w:cs="Arial"/>
          <w:szCs w:val="20"/>
        </w:rPr>
      </w:pPr>
      <w:r>
        <w:rPr>
          <w:rFonts w:cs="Arial"/>
          <w:szCs w:val="20"/>
        </w:rPr>
        <w:t xml:space="preserve">L’idée nous semble intéressante bien mais difficile à mettre en pratique. </w:t>
      </w:r>
    </w:p>
    <w:p w:rsidR="00015791" w:rsidRDefault="00015791" w:rsidP="00015791">
      <w:pPr>
        <w:rPr>
          <w:rFonts w:cs="Arial"/>
          <w:szCs w:val="20"/>
        </w:rPr>
      </w:pPr>
    </w:p>
    <w:p w:rsidR="00015791" w:rsidRDefault="00015791" w:rsidP="00015791">
      <w:pPr>
        <w:rPr>
          <w:rFonts w:cs="Arial"/>
          <w:b/>
          <w:szCs w:val="20"/>
        </w:rPr>
      </w:pPr>
      <w:r>
        <w:rPr>
          <w:rFonts w:cs="Arial"/>
          <w:b/>
          <w:szCs w:val="20"/>
        </w:rPr>
        <w:t>Question n° 11 : Avez-vous d’autres observations au regard des orientations énoncées ci-dessus ?</w:t>
      </w:r>
    </w:p>
    <w:p w:rsidR="00015791" w:rsidRDefault="00015791" w:rsidP="00015791">
      <w:pPr>
        <w:rPr>
          <w:rFonts w:cs="Arial"/>
          <w:szCs w:val="20"/>
        </w:rPr>
      </w:pPr>
    </w:p>
    <w:p w:rsidR="00015791" w:rsidRDefault="00015791" w:rsidP="00015791">
      <w:pPr>
        <w:rPr>
          <w:rFonts w:cs="Arial"/>
          <w:szCs w:val="20"/>
        </w:rPr>
      </w:pPr>
      <w:proofErr w:type="spellStart"/>
      <w:r>
        <w:rPr>
          <w:rFonts w:cs="Arial"/>
          <w:szCs w:val="20"/>
        </w:rPr>
        <w:t>Transatel</w:t>
      </w:r>
      <w:proofErr w:type="spellEnd"/>
      <w:r>
        <w:rPr>
          <w:rFonts w:cs="Arial"/>
          <w:szCs w:val="20"/>
        </w:rPr>
        <w:t xml:space="preserve"> rappelle ici les difficultés qu’il a rencontrées avec l’IPhone et Apple au sujet de l’interopérabilité de ses services Full MVNO avec l’IPhone. Pour rappel, certains clients de </w:t>
      </w:r>
      <w:proofErr w:type="spellStart"/>
      <w:r>
        <w:rPr>
          <w:rFonts w:cs="Arial"/>
          <w:szCs w:val="20"/>
        </w:rPr>
        <w:t>Transatel</w:t>
      </w:r>
      <w:proofErr w:type="spellEnd"/>
      <w:r>
        <w:rPr>
          <w:rFonts w:cs="Arial"/>
          <w:szCs w:val="20"/>
        </w:rPr>
        <w:t xml:space="preserve"> rencontraient des problèmes techniques majeurs avec l’utilisation des SMS ou de </w:t>
      </w:r>
      <w:proofErr w:type="spellStart"/>
      <w:r>
        <w:rPr>
          <w:rFonts w:cs="Arial"/>
          <w:szCs w:val="20"/>
        </w:rPr>
        <w:t>Facetime</w:t>
      </w:r>
      <w:proofErr w:type="spellEnd"/>
      <w:r>
        <w:rPr>
          <w:rFonts w:cs="Arial"/>
          <w:szCs w:val="20"/>
        </w:rPr>
        <w:t xml:space="preserve"> par exemple.</w:t>
      </w:r>
    </w:p>
    <w:p w:rsidR="00015791" w:rsidRDefault="00015791" w:rsidP="00015791">
      <w:pPr>
        <w:rPr>
          <w:rFonts w:cs="Arial"/>
          <w:szCs w:val="20"/>
        </w:rPr>
      </w:pPr>
      <w:r>
        <w:rPr>
          <w:rFonts w:cs="Arial"/>
          <w:szCs w:val="20"/>
        </w:rPr>
        <w:t>Nous considérons qu’il convient de mettre à la disposition des autorités certains moyens juridiques pour éviter que ces situations ne recommencent, en particulier dans le domaine de l’</w:t>
      </w:r>
      <w:proofErr w:type="spellStart"/>
      <w:r>
        <w:rPr>
          <w:rFonts w:cs="Arial"/>
          <w:szCs w:val="20"/>
        </w:rPr>
        <w:t>IoT</w:t>
      </w:r>
      <w:proofErr w:type="spellEnd"/>
      <w:r>
        <w:rPr>
          <w:rFonts w:cs="Arial"/>
          <w:szCs w:val="20"/>
        </w:rPr>
        <w:t xml:space="preserve">. </w:t>
      </w:r>
    </w:p>
    <w:p w:rsidR="00015791" w:rsidRDefault="00015791" w:rsidP="00015791">
      <w:pPr>
        <w:rPr>
          <w:rFonts w:cs="Arial"/>
          <w:szCs w:val="20"/>
        </w:rPr>
      </w:pPr>
      <w:proofErr w:type="spellStart"/>
      <w:r>
        <w:rPr>
          <w:rFonts w:cs="Arial"/>
          <w:szCs w:val="20"/>
        </w:rPr>
        <w:t>Transatel</w:t>
      </w:r>
      <w:proofErr w:type="spellEnd"/>
      <w:r>
        <w:rPr>
          <w:rFonts w:cs="Arial"/>
          <w:szCs w:val="20"/>
        </w:rPr>
        <w:t xml:space="preserve"> pense en particulier à une règle selon laquelle tout équipement compatible avec la norme GSM, ou ayant vocation à embarquer de la connectivité mobile, doit être interopérable avec tout opérateur MNO ou Full MVNO, de manière à permettre une juste concurrence sur le marché. </w:t>
      </w:r>
    </w:p>
    <w:p w:rsidR="00015791" w:rsidRDefault="00015791" w:rsidP="00015791">
      <w:pPr>
        <w:rPr>
          <w:rFonts w:cs="Arial"/>
          <w:szCs w:val="20"/>
        </w:rPr>
      </w:pPr>
      <w:r>
        <w:rPr>
          <w:rFonts w:cs="Arial"/>
          <w:szCs w:val="20"/>
        </w:rPr>
        <w:t>En effet, compte tenu des développements importants attendus dans l’</w:t>
      </w:r>
      <w:proofErr w:type="spellStart"/>
      <w:r>
        <w:rPr>
          <w:rFonts w:cs="Arial"/>
          <w:szCs w:val="20"/>
        </w:rPr>
        <w:t>IoT</w:t>
      </w:r>
      <w:proofErr w:type="spellEnd"/>
      <w:r>
        <w:rPr>
          <w:rFonts w:cs="Arial"/>
          <w:szCs w:val="20"/>
        </w:rPr>
        <w:t xml:space="preserve">, du point de vue du nombre d’équipements différents intégrant de la connectivité mobile, il est fort probable que ce même problème réapparaisse sous une forme différente. </w:t>
      </w:r>
    </w:p>
    <w:p w:rsidR="00015791" w:rsidRDefault="00015791" w:rsidP="00015791">
      <w:pPr>
        <w:rPr>
          <w:rFonts w:cs="Arial"/>
          <w:szCs w:val="20"/>
        </w:rPr>
      </w:pPr>
      <w:r>
        <w:rPr>
          <w:rFonts w:cs="Arial"/>
          <w:szCs w:val="20"/>
        </w:rPr>
        <w:t xml:space="preserve">C’est pourquoi une règle simple doit pouvoir être énoncée sur le plan juridique, notamment au niveau européen, pour permettre cette interopérabilité : les équipements intégrant de la connectivité mobile doivent être compatibles avec toutes les offres de connectivité mobile, que celles-ci émanent des MNO ou des Full MVNO. </w:t>
      </w:r>
    </w:p>
    <w:p w:rsidR="00015791" w:rsidRDefault="00015791" w:rsidP="00015791">
      <w:pPr>
        <w:rPr>
          <w:rFonts w:cs="Arial"/>
          <w:szCs w:val="20"/>
        </w:rPr>
      </w:pPr>
    </w:p>
    <w:p w:rsidR="00015791" w:rsidRDefault="00015791" w:rsidP="00015791">
      <w:pPr>
        <w:rPr>
          <w:rFonts w:cs="Arial"/>
          <w:b/>
          <w:szCs w:val="20"/>
        </w:rPr>
      </w:pPr>
      <w:r>
        <w:rPr>
          <w:rFonts w:cs="Arial"/>
          <w:b/>
          <w:szCs w:val="20"/>
        </w:rPr>
        <w:t>Question n° 12 : Souhaitez-vous formuler des observations au regard des orientations énoncées ci-dessus ?</w:t>
      </w:r>
    </w:p>
    <w:p w:rsidR="00015791" w:rsidRDefault="00015791" w:rsidP="00015791">
      <w:pPr>
        <w:rPr>
          <w:rFonts w:cs="Arial"/>
          <w:szCs w:val="20"/>
        </w:rPr>
      </w:pPr>
    </w:p>
    <w:p w:rsidR="00015791" w:rsidRDefault="00015791" w:rsidP="00015791">
      <w:pPr>
        <w:rPr>
          <w:rFonts w:cs="Arial"/>
          <w:szCs w:val="20"/>
        </w:rPr>
      </w:pPr>
      <w:proofErr w:type="spellStart"/>
      <w:r>
        <w:rPr>
          <w:rFonts w:cs="Arial"/>
          <w:szCs w:val="20"/>
        </w:rPr>
        <w:t>Transatel</w:t>
      </w:r>
      <w:proofErr w:type="spellEnd"/>
      <w:r>
        <w:rPr>
          <w:rFonts w:cs="Arial"/>
          <w:szCs w:val="20"/>
        </w:rPr>
        <w:t xml:space="preserve"> soutient les démarches des autorités pour rétablir la confiance autour de la donnée et des usages, dès lors que celles-ci sont adaptées à la taille des acteurs du type de </w:t>
      </w:r>
      <w:proofErr w:type="spellStart"/>
      <w:r>
        <w:rPr>
          <w:rFonts w:cs="Arial"/>
          <w:szCs w:val="20"/>
        </w:rPr>
        <w:t>Transatel</w:t>
      </w:r>
      <w:proofErr w:type="spellEnd"/>
      <w:r>
        <w:rPr>
          <w:rFonts w:cs="Arial"/>
          <w:szCs w:val="20"/>
        </w:rPr>
        <w:t xml:space="preserve">, et qu’elles permettent efficacement de protéger la vie des utilisateurs et de lutter contre la délinquance sur les réseaux mobiles. </w:t>
      </w:r>
    </w:p>
    <w:p w:rsidR="00015791" w:rsidRDefault="00015791" w:rsidP="00015791">
      <w:pPr>
        <w:rPr>
          <w:rFonts w:cs="Arial"/>
          <w:szCs w:val="20"/>
        </w:rPr>
      </w:pPr>
      <w:r>
        <w:rPr>
          <w:rFonts w:cs="Arial"/>
          <w:szCs w:val="20"/>
        </w:rPr>
        <w:t xml:space="preserve">En effet, nous rappelons que, parfois, certains développements techniques IT rendus nécessaires par la réglementation (et ayant une valeur significative de l’ordre de plusieurs centaines de milliers d’euros) peuvent avoir des effets très négatifs sur l’innovation, et sur la décision des opérateurs de lancer ou non de nouvelles offres. </w:t>
      </w:r>
    </w:p>
    <w:p w:rsidR="00015791" w:rsidRDefault="00015791" w:rsidP="00015791">
      <w:pPr>
        <w:rPr>
          <w:rFonts w:cs="Arial"/>
          <w:szCs w:val="20"/>
        </w:rPr>
      </w:pPr>
    </w:p>
    <w:p w:rsidR="00015791" w:rsidRDefault="00015791" w:rsidP="00015791">
      <w:pPr>
        <w:spacing w:after="160" w:line="256" w:lineRule="auto"/>
        <w:jc w:val="left"/>
        <w:rPr>
          <w:rFonts w:cs="Arial"/>
          <w:b/>
          <w:szCs w:val="20"/>
        </w:rPr>
      </w:pPr>
      <w:r>
        <w:rPr>
          <w:rFonts w:cs="Arial"/>
          <w:b/>
          <w:szCs w:val="20"/>
        </w:rPr>
        <w:br w:type="page"/>
      </w:r>
    </w:p>
    <w:p w:rsidR="00015791" w:rsidRDefault="00015791" w:rsidP="00015791">
      <w:pPr>
        <w:rPr>
          <w:rFonts w:cs="Arial"/>
          <w:b/>
          <w:szCs w:val="20"/>
        </w:rPr>
      </w:pPr>
      <w:r>
        <w:rPr>
          <w:rFonts w:cs="Arial"/>
          <w:b/>
          <w:szCs w:val="20"/>
        </w:rPr>
        <w:lastRenderedPageBreak/>
        <w:t xml:space="preserve">Question n° 13 : Avez-vous des suggestions sur les thématiques que l’Arcep pourra aborder à l’avenir lors de nouveaux ateliers sur l’internet des objets ou sur la manière dont les retours d’expériences pourraient être partagés entre pouvoirs publics et utilisateurs ? Avez-vous d’autres propositions qui permettraient de poursuivre le dialogue initié, notamment, par la présente démarche ? </w:t>
      </w:r>
    </w:p>
    <w:p w:rsidR="00015791" w:rsidRDefault="00015791" w:rsidP="00015791">
      <w:pPr>
        <w:rPr>
          <w:rFonts w:cs="Arial"/>
          <w:szCs w:val="20"/>
        </w:rPr>
      </w:pPr>
    </w:p>
    <w:p w:rsidR="00015791" w:rsidRDefault="00015791" w:rsidP="00015791">
      <w:pPr>
        <w:rPr>
          <w:rFonts w:cs="Arial"/>
          <w:szCs w:val="20"/>
        </w:rPr>
      </w:pPr>
      <w:r>
        <w:rPr>
          <w:rFonts w:cs="Arial"/>
          <w:szCs w:val="20"/>
        </w:rPr>
        <w:t xml:space="preserve">Les équipes de </w:t>
      </w:r>
      <w:proofErr w:type="spellStart"/>
      <w:r>
        <w:rPr>
          <w:rFonts w:cs="Arial"/>
          <w:szCs w:val="20"/>
        </w:rPr>
        <w:t>Transatel</w:t>
      </w:r>
      <w:proofErr w:type="spellEnd"/>
      <w:r>
        <w:rPr>
          <w:rFonts w:cs="Arial"/>
          <w:szCs w:val="20"/>
        </w:rPr>
        <w:t xml:space="preserve"> restent à la disposition de celles de l’Autorité pour échanger sur les développements du marché de l’</w:t>
      </w:r>
      <w:proofErr w:type="spellStart"/>
      <w:r>
        <w:rPr>
          <w:rFonts w:cs="Arial"/>
          <w:szCs w:val="20"/>
        </w:rPr>
        <w:t>IoT</w:t>
      </w:r>
      <w:proofErr w:type="spellEnd"/>
      <w:r>
        <w:rPr>
          <w:rFonts w:cs="Arial"/>
          <w:szCs w:val="20"/>
        </w:rPr>
        <w:t xml:space="preserve">, compte tenu des avancées et des ambitions très fortes de </w:t>
      </w:r>
      <w:proofErr w:type="spellStart"/>
      <w:r>
        <w:rPr>
          <w:rFonts w:cs="Arial"/>
          <w:szCs w:val="20"/>
        </w:rPr>
        <w:t>Transatel</w:t>
      </w:r>
      <w:proofErr w:type="spellEnd"/>
      <w:r>
        <w:rPr>
          <w:rFonts w:cs="Arial"/>
          <w:szCs w:val="20"/>
        </w:rPr>
        <w:t xml:space="preserve">. </w:t>
      </w:r>
    </w:p>
    <w:p w:rsidR="00015791" w:rsidRDefault="00015791" w:rsidP="00015791">
      <w:pPr>
        <w:rPr>
          <w:rFonts w:cs="Arial"/>
          <w:szCs w:val="20"/>
        </w:rPr>
      </w:pPr>
      <w:r>
        <w:rPr>
          <w:rFonts w:cs="Arial"/>
          <w:szCs w:val="20"/>
        </w:rPr>
        <w:t>Les thématiques qui nous semblent les plus importantes sont les suivantes :</w:t>
      </w:r>
    </w:p>
    <w:p w:rsidR="00015791" w:rsidRDefault="00015791" w:rsidP="00015791">
      <w:pPr>
        <w:pStyle w:val="Paragraphedeliste"/>
        <w:numPr>
          <w:ilvl w:val="0"/>
          <w:numId w:val="2"/>
        </w:numPr>
        <w:rPr>
          <w:rFonts w:cs="Arial"/>
          <w:szCs w:val="20"/>
        </w:rPr>
      </w:pPr>
      <w:r>
        <w:rPr>
          <w:rFonts w:cs="Arial"/>
          <w:szCs w:val="20"/>
        </w:rPr>
        <w:t>L’accessibilité des Full MVNO au LPWA et aux évolutions sur les réseaux mobiles</w:t>
      </w:r>
    </w:p>
    <w:p w:rsidR="00015791" w:rsidRDefault="00015791" w:rsidP="00015791">
      <w:pPr>
        <w:pStyle w:val="Paragraphedeliste"/>
        <w:numPr>
          <w:ilvl w:val="0"/>
          <w:numId w:val="2"/>
        </w:numPr>
        <w:rPr>
          <w:rFonts w:cs="Arial"/>
          <w:szCs w:val="20"/>
        </w:rPr>
      </w:pPr>
      <w:r>
        <w:rPr>
          <w:rFonts w:cs="Arial"/>
          <w:szCs w:val="20"/>
        </w:rPr>
        <w:t>La connectivité mobile pour le secteur automobile</w:t>
      </w:r>
    </w:p>
    <w:p w:rsidR="00015791" w:rsidRDefault="00015791" w:rsidP="00015791">
      <w:pPr>
        <w:pStyle w:val="Paragraphedeliste"/>
        <w:numPr>
          <w:ilvl w:val="0"/>
          <w:numId w:val="2"/>
        </w:numPr>
        <w:rPr>
          <w:rFonts w:cs="Arial"/>
          <w:szCs w:val="20"/>
        </w:rPr>
      </w:pPr>
      <w:r>
        <w:rPr>
          <w:rFonts w:cs="Arial"/>
          <w:szCs w:val="20"/>
        </w:rPr>
        <w:t xml:space="preserve">La définition du permanent </w:t>
      </w:r>
      <w:proofErr w:type="spellStart"/>
      <w:r>
        <w:rPr>
          <w:rFonts w:cs="Arial"/>
          <w:szCs w:val="20"/>
        </w:rPr>
        <w:t>roaming</w:t>
      </w:r>
      <w:proofErr w:type="spellEnd"/>
      <w:r>
        <w:rPr>
          <w:rFonts w:cs="Arial"/>
          <w:szCs w:val="20"/>
        </w:rPr>
        <w:t xml:space="preserve"> dans l’</w:t>
      </w:r>
      <w:proofErr w:type="spellStart"/>
      <w:r>
        <w:rPr>
          <w:rFonts w:cs="Arial"/>
          <w:szCs w:val="20"/>
        </w:rPr>
        <w:t>IoT</w:t>
      </w:r>
      <w:proofErr w:type="spellEnd"/>
    </w:p>
    <w:p w:rsidR="00015791" w:rsidRDefault="00015791" w:rsidP="00015791">
      <w:pPr>
        <w:pStyle w:val="Paragraphedeliste"/>
        <w:numPr>
          <w:ilvl w:val="0"/>
          <w:numId w:val="2"/>
        </w:numPr>
        <w:rPr>
          <w:rFonts w:cs="Arial"/>
          <w:szCs w:val="20"/>
        </w:rPr>
      </w:pPr>
      <w:r>
        <w:rPr>
          <w:rFonts w:cs="Arial"/>
          <w:szCs w:val="20"/>
        </w:rPr>
        <w:t xml:space="preserve">Faciliter la fourniture </w:t>
      </w:r>
      <w:proofErr w:type="gramStart"/>
      <w:r>
        <w:rPr>
          <w:rFonts w:cs="Arial"/>
          <w:szCs w:val="20"/>
        </w:rPr>
        <w:t>des service transeuropéens</w:t>
      </w:r>
      <w:proofErr w:type="gramEnd"/>
    </w:p>
    <w:p w:rsidR="00015791" w:rsidRDefault="00015791" w:rsidP="00015791">
      <w:pPr>
        <w:rPr>
          <w:rFonts w:cs="Arial"/>
          <w:szCs w:val="20"/>
        </w:rPr>
      </w:pPr>
    </w:p>
    <w:p w:rsidR="00015791" w:rsidRDefault="00015791" w:rsidP="00015791">
      <w:pPr>
        <w:rPr>
          <w:rFonts w:cs="Arial"/>
          <w:b/>
          <w:szCs w:val="20"/>
        </w:rPr>
      </w:pPr>
      <w:r>
        <w:rPr>
          <w:rFonts w:cs="Arial"/>
          <w:b/>
          <w:szCs w:val="20"/>
        </w:rPr>
        <w:t>Question n° 14 : Avez-vous tout autre remarque ou commentaire que vous souhaitez communiquer au sujet des orientations pour l’Arcep qui sont présentées dans ce document ?</w:t>
      </w:r>
    </w:p>
    <w:p w:rsidR="00015791" w:rsidRDefault="00015791" w:rsidP="00015791">
      <w:pPr>
        <w:rPr>
          <w:rFonts w:cs="Arial"/>
          <w:szCs w:val="20"/>
        </w:rPr>
      </w:pPr>
    </w:p>
    <w:p w:rsidR="00015791" w:rsidRDefault="00015791" w:rsidP="00015791">
      <w:pPr>
        <w:rPr>
          <w:rFonts w:cs="Arial"/>
          <w:szCs w:val="20"/>
        </w:rPr>
      </w:pPr>
      <w:proofErr w:type="spellStart"/>
      <w:r>
        <w:rPr>
          <w:rFonts w:cs="Arial"/>
          <w:szCs w:val="20"/>
        </w:rPr>
        <w:t>Transatel</w:t>
      </w:r>
      <w:proofErr w:type="spellEnd"/>
      <w:r>
        <w:rPr>
          <w:rFonts w:cs="Arial"/>
          <w:szCs w:val="20"/>
        </w:rPr>
        <w:t xml:space="preserve"> n’a pas d’autres commentaires et remercie de nouveau les services de l’ARCEP.</w:t>
      </w:r>
    </w:p>
    <w:p w:rsidR="00015791" w:rsidRDefault="00015791" w:rsidP="00015791">
      <w:pPr>
        <w:rPr>
          <w:rFonts w:cs="Arial"/>
          <w:szCs w:val="20"/>
        </w:rPr>
      </w:pPr>
    </w:p>
    <w:p w:rsidR="00D86447" w:rsidRDefault="00D86447"/>
    <w:sectPr w:rsidR="00D864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124E76"/>
    <w:multiLevelType w:val="hybridMultilevel"/>
    <w:tmpl w:val="8232291A"/>
    <w:lvl w:ilvl="0" w:tplc="6AAA7246">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nsid w:val="4DCC54DD"/>
    <w:multiLevelType w:val="hybridMultilevel"/>
    <w:tmpl w:val="58D8D316"/>
    <w:lvl w:ilvl="0" w:tplc="DDE2CF9E">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791"/>
    <w:rsid w:val="00015791"/>
    <w:rsid w:val="00D864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791"/>
    <w:pPr>
      <w:spacing w:after="120" w:line="240" w:lineRule="auto"/>
      <w:jc w:val="both"/>
    </w:pPr>
    <w:rPr>
      <w:rFonts w:ascii="Arial" w:hAnsi="Arial"/>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015791"/>
    <w:rPr>
      <w:color w:val="0000FF" w:themeColor="hyperlink"/>
      <w:u w:val="single"/>
    </w:rPr>
  </w:style>
  <w:style w:type="paragraph" w:styleId="Paragraphedeliste">
    <w:name w:val="List Paragraph"/>
    <w:basedOn w:val="Normal"/>
    <w:uiPriority w:val="34"/>
    <w:qFormat/>
    <w:rsid w:val="00015791"/>
    <w:pPr>
      <w:ind w:left="720"/>
      <w:contextualSpacing/>
    </w:pPr>
  </w:style>
  <w:style w:type="table" w:styleId="Grilledutableau">
    <w:name w:val="Table Grid"/>
    <w:basedOn w:val="TableauNormal"/>
    <w:uiPriority w:val="39"/>
    <w:rsid w:val="0001579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791"/>
    <w:pPr>
      <w:spacing w:after="120" w:line="240" w:lineRule="auto"/>
      <w:jc w:val="both"/>
    </w:pPr>
    <w:rPr>
      <w:rFonts w:ascii="Arial" w:hAnsi="Arial"/>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015791"/>
    <w:rPr>
      <w:color w:val="0000FF" w:themeColor="hyperlink"/>
      <w:u w:val="single"/>
    </w:rPr>
  </w:style>
  <w:style w:type="paragraph" w:styleId="Paragraphedeliste">
    <w:name w:val="List Paragraph"/>
    <w:basedOn w:val="Normal"/>
    <w:uiPriority w:val="34"/>
    <w:qFormat/>
    <w:rsid w:val="00015791"/>
    <w:pPr>
      <w:ind w:left="720"/>
      <w:contextualSpacing/>
    </w:pPr>
  </w:style>
  <w:style w:type="table" w:styleId="Grilledutableau">
    <w:name w:val="Table Grid"/>
    <w:basedOn w:val="TableauNormal"/>
    <w:uiPriority w:val="39"/>
    <w:rsid w:val="0001579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187586">
      <w:bodyDiv w:val="1"/>
      <w:marLeft w:val="0"/>
      <w:marRight w:val="0"/>
      <w:marTop w:val="0"/>
      <w:marBottom w:val="0"/>
      <w:divBdr>
        <w:top w:val="none" w:sz="0" w:space="0" w:color="auto"/>
        <w:left w:val="none" w:sz="0" w:space="0" w:color="auto"/>
        <w:bottom w:val="none" w:sz="0" w:space="0" w:color="auto"/>
        <w:right w:val="none" w:sz="0" w:space="0" w:color="auto"/>
      </w:divBdr>
    </w:div>
    <w:div w:id="191203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gsma.com/connectedliving/mobile-iot-initiativ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B64EE-DE41-42EA-93AF-55765F97C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2659</Words>
  <Characters>14630</Characters>
  <Application>Microsoft Office Word</Application>
  <DocSecurity>0</DocSecurity>
  <Lines>121</Lines>
  <Paragraphs>34</Paragraphs>
  <ScaleCrop>false</ScaleCrop>
  <Company>ARCEP</Company>
  <LinksUpToDate>false</LinksUpToDate>
  <CharactersWithSpaces>17255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Administrateur</dc:creator>
  <cp:lastModifiedBy>Administrateur</cp:lastModifiedBy>
  <cp:revision>1</cp:revision>
  <dcterms:created xsi:type="dcterms:W3CDTF">2016-09-22T14:31:00Z</dcterms:created>
  <dcterms:modified xsi:type="dcterms:W3CDTF">2016-09-22T14:33:00Z</dcterms:modified>
</cp:coreProperties>
</file>